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4763" w:rsidRDefault="004059FB" w:rsidP="003D4763">
      <w:pPr>
        <w:spacing w:after="0"/>
        <w:rPr>
          <w:rFonts w:cs="Arial"/>
          <w:b/>
          <w:color w:val="008000"/>
          <w:sz w:val="40"/>
          <w:szCs w:val="40"/>
        </w:rPr>
      </w:pPr>
      <w:r>
        <w:rPr>
          <w:rFonts w:cs="Arial"/>
          <w:b/>
          <w:noProof/>
          <w:color w:val="008000"/>
          <w:sz w:val="40"/>
          <w:szCs w:val="40"/>
          <w:lang w:eastAsia="hu-HU"/>
        </w:rPr>
        <mc:AlternateContent>
          <mc:Choice Requires="wps">
            <w:drawing>
              <wp:anchor distT="0" distB="0" distL="114300" distR="114300" simplePos="0" relativeHeight="251659264" behindDoc="0" locked="0" layoutInCell="1" allowOverlap="1">
                <wp:simplePos x="0" y="0"/>
                <wp:positionH relativeFrom="column">
                  <wp:posOffset>4975860</wp:posOffset>
                </wp:positionH>
                <wp:positionV relativeFrom="paragraph">
                  <wp:posOffset>-139065</wp:posOffset>
                </wp:positionV>
                <wp:extent cx="1695450" cy="952500"/>
                <wp:effectExtent l="0" t="0" r="0" b="0"/>
                <wp:wrapNone/>
                <wp:docPr id="26"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5450" cy="952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31591" w:rsidRDefault="00D31591" w:rsidP="003D4763">
                            <w:r>
                              <w:rPr>
                                <w:noProof/>
                                <w:lang w:eastAsia="hu-HU"/>
                              </w:rPr>
                              <w:drawing>
                                <wp:inline distT="0" distB="0" distL="0" distR="0">
                                  <wp:extent cx="1308100" cy="808830"/>
                                  <wp:effectExtent l="0" t="0" r="635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ail.jpg"/>
                                          <pic:cNvPicPr/>
                                        </pic:nvPicPr>
                                        <pic:blipFill>
                                          <a:blip r:embed="rId8">
                                            <a:extLst>
                                              <a:ext uri="{28A0092B-C50C-407E-A947-70E740481C1C}">
                                                <a14:useLocalDpi xmlns:a14="http://schemas.microsoft.com/office/drawing/2010/main" val="0"/>
                                              </a:ext>
                                            </a:extLst>
                                          </a:blip>
                                          <a:stretch>
                                            <a:fillRect/>
                                          </a:stretch>
                                        </pic:blipFill>
                                        <pic:spPr>
                                          <a:xfrm>
                                            <a:off x="0" y="0"/>
                                            <a:ext cx="1310838" cy="8105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Szövegdoboz 1" o:spid="_x0000_s1026" type="#_x0000_t202" style="position:absolute;margin-left:391.8pt;margin-top:-10.95pt;width:133.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" fillcolor="white [3201]" stroked="f" strokeweight=".5pt">
                <v:textbox>
                  <w:txbxContent>
                    <w:p w:rsidR="00D31591" w:rsidRDefault="00D31591" w:rsidP="003D4763">
                      <w:r>
                        <w:rPr>
                          <w:noProof/>
                          <w:lang w:eastAsia="hu-HU"/>
                        </w:rPr>
                        <w:drawing>
                          <wp:inline distT="0" distB="0" distL="0" distR="0">
                            <wp:extent cx="1308100" cy="808830"/>
                            <wp:effectExtent l="0" t="0" r="635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ail.jpg"/>
                                    <pic:cNvPicPr/>
                                  </pic:nvPicPr>
                                  <pic:blipFill>
                                    <a:blip r:embed="rId9">
                                      <a:extLst>
                                        <a:ext uri="{28A0092B-C50C-407E-A947-70E740481C1C}">
                                          <a14:useLocalDpi xmlns:a14="http://schemas.microsoft.com/office/drawing/2010/main" val="0"/>
                                        </a:ext>
                                      </a:extLst>
                                    </a:blip>
                                    <a:stretch>
                                      <a:fillRect/>
                                    </a:stretch>
                                  </pic:blipFill>
                                  <pic:spPr>
                                    <a:xfrm>
                                      <a:off x="0" y="0"/>
                                      <a:ext cx="1310838" cy="810523"/>
                                    </a:xfrm>
                                    <a:prstGeom prst="rect">
                                      <a:avLst/>
                                    </a:prstGeom>
                                  </pic:spPr>
                                </pic:pic>
                              </a:graphicData>
                            </a:graphic>
                          </wp:inline>
                        </w:drawing>
                      </w:r>
                    </w:p>
                  </w:txbxContent>
                </v:textbox>
              </v:shape>
            </w:pict>
          </mc:Fallback>
        </mc:AlternateContent>
      </w:r>
      <w:r w:rsidR="00B3413F">
        <w:rPr>
          <w:rFonts w:cs="Arial"/>
          <w:b/>
          <w:color w:val="008000"/>
          <w:sz w:val="40"/>
          <w:szCs w:val="40"/>
        </w:rPr>
        <w:t>Gazdasági Havi Tájékoztató</w:t>
      </w:r>
    </w:p>
    <w:p w:rsidR="003D4763" w:rsidRPr="00953AAE" w:rsidRDefault="00C62390" w:rsidP="003D4763">
      <w:pPr>
        <w:spacing w:after="0"/>
        <w:rPr>
          <w:rFonts w:cs="Arial"/>
          <w:b/>
          <w:color w:val="404040" w:themeColor="text1" w:themeTint="BF"/>
          <w:sz w:val="32"/>
          <w:szCs w:val="32"/>
        </w:rPr>
      </w:pPr>
      <w:r w:rsidRPr="00953AAE">
        <w:rPr>
          <w:rFonts w:cs="Arial"/>
          <w:b/>
          <w:color w:val="404040" w:themeColor="text1" w:themeTint="BF"/>
          <w:sz w:val="32"/>
          <w:szCs w:val="32"/>
        </w:rPr>
        <w:t>201</w:t>
      </w:r>
      <w:r w:rsidR="005968AC">
        <w:rPr>
          <w:rFonts w:cs="Arial"/>
          <w:b/>
          <w:color w:val="404040" w:themeColor="text1" w:themeTint="BF"/>
          <w:sz w:val="32"/>
          <w:szCs w:val="32"/>
        </w:rPr>
        <w:t>9</w:t>
      </w:r>
      <w:r w:rsidR="009357B9">
        <w:rPr>
          <w:rFonts w:cs="Arial"/>
          <w:b/>
          <w:color w:val="404040" w:themeColor="text1" w:themeTint="BF"/>
          <w:sz w:val="32"/>
          <w:szCs w:val="32"/>
        </w:rPr>
        <w:t xml:space="preserve">. </w:t>
      </w:r>
      <w:r w:rsidR="00713CD0">
        <w:rPr>
          <w:rFonts w:cs="Arial"/>
          <w:b/>
          <w:color w:val="404040" w:themeColor="text1" w:themeTint="BF"/>
          <w:sz w:val="32"/>
          <w:szCs w:val="32"/>
        </w:rPr>
        <w:t>szeptember</w:t>
      </w:r>
    </w:p>
    <w:p w:rsidR="0082365D" w:rsidRDefault="00B37A17" w:rsidP="005D2548">
      <w:pPr>
        <w:spacing w:line="240" w:lineRule="auto"/>
        <w:rPr>
          <w:rFonts w:cs="Arial"/>
          <w:b/>
          <w:noProof/>
          <w:color w:val="404040" w:themeColor="text1" w:themeTint="BF"/>
          <w:sz w:val="32"/>
          <w:szCs w:val="32"/>
          <w:lang w:eastAsia="hu-HU"/>
        </w:rPr>
      </w:pPr>
      <w:r>
        <w:rPr>
          <w:rFonts w:cs="Arial"/>
          <w:b/>
          <w:noProof/>
          <w:color w:val="404040" w:themeColor="text1" w:themeTint="BF"/>
          <w:sz w:val="32"/>
          <w:szCs w:val="32"/>
          <w:lang w:eastAsia="hu-HU"/>
        </w:rPr>
        <w:pict>
          <v:rect id="_x0000_i1025" style="width:490.6pt;height:1pt;flip:y" o:hrpct="989" o:hralign="center" o:hrstd="t" o:hrnoshade="t" o:hr="t" fillcolor="#404040 [2429]" stroked="f"/>
        </w:pict>
      </w:r>
    </w:p>
    <w:p w:rsidR="00D31591" w:rsidRPr="00D31591" w:rsidRDefault="00D31591" w:rsidP="00D31591">
      <w:pPr>
        <w:spacing w:line="240" w:lineRule="auto"/>
        <w:jc w:val="both"/>
        <w:rPr>
          <w:rFonts w:eastAsia="Times New Roman" w:cs="Arial"/>
          <w:b/>
          <w:bCs/>
          <w:iCs/>
          <w:color w:val="008000"/>
          <w:sz w:val="28"/>
          <w:szCs w:val="28"/>
          <w:lang w:eastAsia="hu-HU"/>
        </w:rPr>
      </w:pPr>
      <w:r w:rsidRPr="00D31591">
        <w:rPr>
          <w:rFonts w:eastAsia="Times New Roman" w:cs="Arial"/>
          <w:b/>
          <w:bCs/>
          <w:iCs/>
          <w:color w:val="008000"/>
          <w:sz w:val="28"/>
          <w:szCs w:val="28"/>
          <w:lang w:eastAsia="hu-HU"/>
        </w:rPr>
        <w:t>A magyarországi foglalkozások automatizálhatósága</w:t>
      </w:r>
    </w:p>
    <w:p w:rsidR="00DB67BD" w:rsidRDefault="00D31591" w:rsidP="00D31591">
      <w:pPr>
        <w:jc w:val="both"/>
        <w:rPr>
          <w:rFonts w:eastAsia="Times New Roman" w:cs="Arial"/>
          <w:b/>
          <w:color w:val="404040" w:themeColor="text1" w:themeTint="BF"/>
          <w:lang w:eastAsia="ar-SA"/>
        </w:rPr>
      </w:pPr>
      <w:r w:rsidRPr="00D31591">
        <w:rPr>
          <w:rFonts w:eastAsia="Times New Roman" w:cs="Arial"/>
          <w:b/>
          <w:color w:val="404040" w:themeColor="text1" w:themeTint="BF"/>
          <w:lang w:eastAsia="ar-SA"/>
        </w:rPr>
        <w:t>Az automatizáció és a digitalizáció terjedését napjainkban a munkaerőpiaci változások egyik legfontosabb jelenségeként tartják számon. Az lehetséges hatásokat vizsgáló szakirodalom abból az előfeltevésből indul ki, hogy bizonyos jelenleg létező munkafeladatok esetében a technikai fejlődésnek köszönhetően kiváltható lesz az élőmunka, így ezeken a területeken a munkaerő-kereslet csökkenni fog. Más területeken – különösen az új technológiák tervezése és működtetése területén – a munkaerő-kereslet növekedése várható. Becslések szerint az automatizáció terjedésének üteme Közép-Kelet-Európában a közeljövőben az európai átlagot meghaladó lesz, így a munkaerőpiaci hatások feltételezhetően a régiónkban is jelentkezni fognak. Az MKIK GVI kutatásában a Magyarországon nyilvántartott foglalkozások automatizálhatóságát vizsgálja és veti össze a foglalkoztatottságra vonatkozó adatokkal. Jelen összefoglalóban ezen kutatás első eredményeit mutatjuk be.</w:t>
      </w:r>
    </w:p>
    <w:p w:rsidR="00BC737F" w:rsidRDefault="00BC737F" w:rsidP="00D31591">
      <w:pPr>
        <w:jc w:val="both"/>
        <w:rPr>
          <w:rFonts w:eastAsia="Times New Roman" w:cs="Arial"/>
          <w:b/>
          <w:color w:val="404040" w:themeColor="text1" w:themeTint="BF"/>
          <w:lang w:eastAsia="ar-SA"/>
        </w:rPr>
        <w:sectPr w:rsidR="00BC737F" w:rsidSect="00D31591">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134" w:bottom="1276" w:left="1134" w:header="709" w:footer="709" w:gutter="0"/>
          <w:cols w:space="708"/>
        </w:sectPr>
      </w:pPr>
    </w:p>
    <w:p w:rsidR="00BC737F" w:rsidRDefault="00BC737F" w:rsidP="00D31591">
      <w:pPr>
        <w:jc w:val="both"/>
        <w:rPr>
          <w:rFonts w:eastAsia="Times New Roman" w:cs="Arial"/>
          <w:b/>
          <w:color w:val="404040" w:themeColor="text1" w:themeTint="BF"/>
          <w:lang w:eastAsia="ar-SA"/>
        </w:rPr>
        <w:sectPr w:rsidR="00BC737F" w:rsidSect="00D31591">
          <w:type w:val="continuous"/>
          <w:pgSz w:w="11906" w:h="16838"/>
          <w:pgMar w:top="1134" w:right="1134" w:bottom="1276" w:left="1134" w:header="709" w:footer="709" w:gutter="0"/>
          <w:cols w:space="708"/>
        </w:sectPr>
      </w:pPr>
    </w:p>
    <w:p w:rsidR="00D31591" w:rsidRPr="00907776" w:rsidRDefault="00D31591" w:rsidP="00D31591">
      <w:pPr>
        <w:jc w:val="both"/>
        <w:rPr>
          <w:rFonts w:eastAsia="Times New Roman" w:cs="Arial"/>
          <w:b/>
          <w:color w:val="404040" w:themeColor="text1" w:themeTint="BF"/>
          <w:lang w:eastAsia="ar-SA"/>
        </w:rPr>
      </w:pPr>
      <w:r w:rsidRPr="00907776">
        <w:rPr>
          <w:color w:val="404040" w:themeColor="text1" w:themeTint="BF"/>
        </w:rPr>
        <w:t xml:space="preserve">Az automatizációt vizsgáló első tanulmányok szerint az automatizálás elsősorban az olyan rutin munkafeladatokat érinti, amelyek leprogramozható, egyértelműen leírható feladatrészekből állnak, míg a nem-rutin feladatok esetében a robotok és számítógépek legfeljebb kiegészítő eszközként funkcionálnak az emberi munka mellett.  A rutin feladatok közül is elsősorban a manuális feladatok, például a gyártás, a különböző tárgyak összeillesztése, az anyagmozgatás és – válogatás stb. a legegyszerűbben kiválthatóak, ugyanakkor automatizálhatóak az olyan kognitív feladatok is, mint a mérés, a nyilvántartás, az adatrögzítés vagy az ügyfélszolgálat. Ugyanakkor az olyan technológiák fejlődése, mint a gépi tanulás </w:t>
      </w:r>
      <w:r w:rsidRPr="00907776">
        <w:rPr>
          <w:i/>
          <w:iCs/>
          <w:color w:val="404040" w:themeColor="text1" w:themeTint="BF"/>
        </w:rPr>
        <w:t>(machine learning)</w:t>
      </w:r>
      <w:r w:rsidRPr="00907776">
        <w:rPr>
          <w:color w:val="404040" w:themeColor="text1" w:themeTint="BF"/>
        </w:rPr>
        <w:t xml:space="preserve"> vagy a 3D nyomtatás, összetettebb feladatok automatizálását is lehetővé tették.</w:t>
      </w:r>
    </w:p>
    <w:p w:rsidR="00D31591" w:rsidRPr="00907776" w:rsidRDefault="00D31591" w:rsidP="00F27C9D">
      <w:pPr>
        <w:spacing w:line="240" w:lineRule="auto"/>
        <w:jc w:val="both"/>
        <w:rPr>
          <w:rFonts w:eastAsia="Times New Roman" w:cs="Arial"/>
          <w:b/>
          <w:bCs/>
          <w:iCs/>
          <w:color w:val="404040" w:themeColor="text1" w:themeTint="BF"/>
          <w:sz w:val="24"/>
          <w:szCs w:val="24"/>
          <w:lang w:eastAsia="hu-HU"/>
        </w:rPr>
      </w:pPr>
      <w:r w:rsidRPr="00907776">
        <w:rPr>
          <w:color w:val="404040" w:themeColor="text1" w:themeTint="BF"/>
        </w:rPr>
        <w:t>Bizonyos területeken ugyanakkor az automatizálás továbbra sem megoldott, a szakirodalom számon tart olyan műszaki akadályozó tényezőket, amelyek miatt egyes feladatok nem automatizálhatóak. Ilyen feladatok jellemzően a nem-rutin és/vagy absztrakt, összetett feladatok, amelyek olyan készségeket igényelnek, amelyek nem gépesíthetőek, például kézügyességet, kreatív intelligenciát vagy szociális készségeket kívánnak.</w:t>
      </w:r>
      <w:r w:rsidRPr="00907776">
        <w:rPr>
          <w:rFonts w:eastAsia="Times New Roman" w:cs="Arial"/>
          <w:b/>
          <w:bCs/>
          <w:iCs/>
          <w:color w:val="404040" w:themeColor="text1" w:themeTint="BF"/>
          <w:sz w:val="24"/>
          <w:szCs w:val="24"/>
          <w:lang w:eastAsia="hu-HU"/>
        </w:rPr>
        <w:t xml:space="preserve"> </w:t>
      </w:r>
    </w:p>
    <w:p w:rsidR="00D31591" w:rsidRPr="00F27C9D" w:rsidRDefault="00D31591" w:rsidP="00F27C9D">
      <w:pPr>
        <w:spacing w:line="240" w:lineRule="auto"/>
        <w:jc w:val="both"/>
        <w:rPr>
          <w:rFonts w:eastAsia="Times New Roman" w:cs="Arial"/>
          <w:b/>
          <w:bCs/>
          <w:iCs/>
          <w:color w:val="008000"/>
          <w:sz w:val="24"/>
          <w:szCs w:val="24"/>
          <w:lang w:eastAsia="hu-HU"/>
        </w:rPr>
      </w:pPr>
      <w:r w:rsidRPr="00F27C9D">
        <w:rPr>
          <w:rFonts w:eastAsia="Times New Roman" w:cs="Arial"/>
          <w:b/>
          <w:bCs/>
          <w:iCs/>
          <w:color w:val="008000"/>
          <w:sz w:val="24"/>
          <w:szCs w:val="24"/>
          <w:lang w:eastAsia="hu-HU"/>
        </w:rPr>
        <w:t>A FEOR foglalkozásainak besorolása</w:t>
      </w:r>
    </w:p>
    <w:p w:rsidR="00D31591" w:rsidRPr="00907776" w:rsidRDefault="00D31591" w:rsidP="00D31591">
      <w:pPr>
        <w:jc w:val="both"/>
        <w:rPr>
          <w:color w:val="404040" w:themeColor="text1" w:themeTint="BF"/>
        </w:rPr>
      </w:pPr>
      <w:r w:rsidRPr="00907776">
        <w:rPr>
          <w:color w:val="404040" w:themeColor="text1" w:themeTint="BF"/>
        </w:rPr>
        <w:t xml:space="preserve">Kutatásunkban a FEOR nyilvántartásban szereplő foglalkozások automatizálhatósági szintjét határoztuk meg. Ehhez a foglalkozások leírásában szereplő feladatokat automatizálható (-1) és nem automatizálható (1) kategóriákba soroltuk. A besorolás első lépéseként a szakirodalomban leírt automatizálható feladatokhoz és az </w:t>
      </w:r>
      <w:r w:rsidRPr="00907776">
        <w:rPr>
          <w:color w:val="404040" w:themeColor="text1" w:themeTint="BF"/>
        </w:rPr>
        <w:lastRenderedPageBreak/>
        <w:t>akadályozó tényezőkhöz kulcsszavakat rendeltünk, és a Zurvey szövegelemzővel megvizsgáltuk, hogy a feladatleírások mely kulcsszavakat tartalmazza. Amennyiben egy feladat tartalmazott valamilyen automatizálást akadályozó tényezőre utaló kulcsszót, nem-automatizálható kategóriába került. Ha nem tartalmazott ilyet, de az elemzés besorolta bármelyik automatizálást leíró kulcsszó alá, a feladatot az automatizálható kategóriába soroltuk. A kulcsszavas elemzést a be nem sorolt feladatok esetében manuális kódolással egészítettük ki.</w:t>
      </w:r>
    </w:p>
    <w:p w:rsidR="00D31591" w:rsidRPr="00907776" w:rsidRDefault="00D31591" w:rsidP="00D31591">
      <w:pPr>
        <w:jc w:val="both"/>
        <w:rPr>
          <w:color w:val="404040" w:themeColor="text1" w:themeTint="BF"/>
        </w:rPr>
      </w:pPr>
      <w:r w:rsidRPr="00907776">
        <w:rPr>
          <w:color w:val="404040" w:themeColor="text1" w:themeTint="BF"/>
        </w:rPr>
        <w:t>A foglalkozásokhoz tartozó feladatok automatizálhatósága alapján a szakmákat öt kategóriába soroltuk be aszerint, hogy feladataik milyen mértékben automatizálhatóak. A skálán 1-es értéket kaptak azok a foglalkozások, amelyek feladatai közül egyik sem automatizálható, 5-öst pedig azok, amelyeknél mindegyik feladat automatizálható lehet. A besorolás rávilágít arra, hogy az automatizáció nem jár feltétlenül az érintett szakmák megszűnésével: a legtöbb foglalkozás esetében a részfeladatok egy része potenciálisan automatizálható, míg más feladatokat jelenlegi tudásunk szerint nem lehet kiváltani az új technológiákkal</w:t>
      </w:r>
      <w:r w:rsidR="00907776">
        <w:rPr>
          <w:color w:val="404040" w:themeColor="text1" w:themeTint="BF"/>
        </w:rPr>
        <w:t>.</w:t>
      </w:r>
    </w:p>
    <w:p w:rsidR="00D31591" w:rsidRPr="00907776" w:rsidRDefault="00D31591" w:rsidP="00907776">
      <w:pPr>
        <w:jc w:val="both"/>
        <w:rPr>
          <w:color w:val="404040" w:themeColor="text1" w:themeTint="BF"/>
        </w:rPr>
      </w:pPr>
      <w:r w:rsidRPr="00907776">
        <w:rPr>
          <w:color w:val="404040" w:themeColor="text1" w:themeTint="BF"/>
        </w:rPr>
        <w:t xml:space="preserve">A kódolás alapján a FEOR szakmák többsége a nem automatizálható kategóriába tartozik: a nyilvántartásban 122 olyan szakma szerepel, amelynek a részfeladatai nem-automatizálhatóak. 79 szakma esetében a feladatok egy része már automatizálható, többségük azonban a nem automatizálható </w:t>
      </w:r>
      <w:r w:rsidRPr="00907776">
        <w:rPr>
          <w:color w:val="404040" w:themeColor="text1" w:themeTint="BF"/>
        </w:rPr>
        <w:t>kategóriába esik. 93 foglalkozás részben automatizálható, ezen szakmák részfeladatai között nagyjából egyenlő arányban szerepelnek automatizálható és nem automatizálható feladatok. 90 szakma esetében a részfeladatok többsége automatizálható, 26 szakma esetében pedig a jegyzékben felsorolt részfeladatok közül az összes vagy szinte az összes automatizálható. Utóbbi két kategória foglalkozásai tekinthetőek az automatizáció hatásai szempontjából leginkább érintetteknek.</w:t>
      </w:r>
    </w:p>
    <w:p w:rsidR="00D31591" w:rsidRPr="00F27C9D" w:rsidRDefault="00D31591" w:rsidP="00F27C9D">
      <w:pPr>
        <w:spacing w:line="240" w:lineRule="auto"/>
        <w:jc w:val="both"/>
        <w:rPr>
          <w:rFonts w:eastAsia="Times New Roman" w:cs="Arial"/>
          <w:b/>
          <w:bCs/>
          <w:iCs/>
          <w:color w:val="008000"/>
          <w:sz w:val="24"/>
          <w:szCs w:val="24"/>
          <w:lang w:eastAsia="hu-HU"/>
        </w:rPr>
      </w:pPr>
      <w:r w:rsidRPr="00F27C9D">
        <w:rPr>
          <w:rFonts w:eastAsia="Times New Roman" w:cs="Arial"/>
          <w:b/>
          <w:bCs/>
          <w:iCs/>
          <w:color w:val="008000"/>
          <w:sz w:val="24"/>
          <w:szCs w:val="24"/>
          <w:lang w:eastAsia="hu-HU"/>
        </w:rPr>
        <w:t>Foglalkoztatási adatok</w:t>
      </w:r>
    </w:p>
    <w:p w:rsidR="00D31591" w:rsidRDefault="00D31591" w:rsidP="00D31591">
      <w:pPr>
        <w:jc w:val="both"/>
        <w:rPr>
          <w:color w:val="404040" w:themeColor="text1" w:themeTint="BF"/>
        </w:rPr>
      </w:pPr>
      <w:r w:rsidRPr="004059FB">
        <w:rPr>
          <w:color w:val="404040" w:themeColor="text1" w:themeTint="BF"/>
        </w:rPr>
        <w:t>A foglalkozások automatizálhatóság szerinti besorolását az elemzés következő lépésében összevetettük a NAV foglalkoztatottsági adataival. A 2018-as adatok alapján 3 743 689 foglalkoztatottból 164 496 fő dolgozik az automatizálható szakmákban, további 567 313 foglalkoztatott pedig olyan szakmában, amelynek a részfeladatai többségében automatizálhatóak. Az összes foglalkoztatottnak így körülbelül ötöde dolgozik olyan szakmában, amely részfeladatai alapján egészében vagy nagy részében automatizálható. Előbbi kategória a foglalkoztatottak 4%-át teszi ki. A foglalkoztatottak legnagyobb része, 28%-a (körülbelül 1 millió fő) olyan szakmában dolgozik, amelyek esetében az automatizálás kiegészítő szerepet tölthet be, a feladatoknak egy része automatizálható. A munkavállalók további 9%-a olyan feladatokat végez, amelyek többségében nem automatizálhatóak, míg a foglalkoztatottak 18%-a nem automatizálható szakmákban dolgozott 2018-ban.</w:t>
      </w:r>
    </w:p>
    <w:p w:rsidR="004059FB" w:rsidRPr="004059FB" w:rsidRDefault="004059FB" w:rsidP="00D31591">
      <w:pPr>
        <w:jc w:val="both"/>
        <w:rPr>
          <w:color w:val="404040" w:themeColor="text1" w:themeTint="BF"/>
        </w:rPr>
        <w:sectPr w:rsidR="004059FB" w:rsidRPr="004059FB" w:rsidSect="00BC737F">
          <w:type w:val="continuous"/>
          <w:pgSz w:w="11906" w:h="16838"/>
          <w:pgMar w:top="1134" w:right="1134" w:bottom="1276" w:left="1134" w:header="709" w:footer="709" w:gutter="0"/>
          <w:cols w:num="2" w:space="708"/>
        </w:sectPr>
      </w:pPr>
    </w:p>
    <w:p w:rsidR="00D31591" w:rsidRDefault="00D31591" w:rsidP="00D31591">
      <w:pPr>
        <w:jc w:val="both"/>
        <w:sectPr w:rsidR="00D31591" w:rsidSect="00D31591">
          <w:type w:val="continuous"/>
          <w:pgSz w:w="11906" w:h="16838"/>
          <w:pgMar w:top="1134" w:right="1134" w:bottom="1276" w:left="1134" w:header="709" w:footer="709" w:gutter="0"/>
          <w:cols w:space="708"/>
        </w:sectPr>
      </w:pPr>
    </w:p>
    <w:p w:rsidR="0013697D" w:rsidRDefault="0013697D" w:rsidP="00D31591">
      <w:pPr>
        <w:pStyle w:val="szovegtorzs0"/>
        <w:spacing w:line="240" w:lineRule="auto"/>
        <w:ind w:firstLine="709"/>
        <w:jc w:val="center"/>
        <w:rPr>
          <w:rFonts w:eastAsiaTheme="minorHAnsi" w:cstheme="minorBidi"/>
          <w:b/>
          <w:iCs/>
          <w:color w:val="008000"/>
          <w:sz w:val="20"/>
          <w:szCs w:val="20"/>
          <w:lang w:eastAsia="en-US"/>
        </w:rPr>
      </w:pPr>
    </w:p>
    <w:p w:rsidR="0013697D" w:rsidRDefault="0013697D" w:rsidP="00D31591">
      <w:pPr>
        <w:pStyle w:val="szovegtorzs0"/>
        <w:spacing w:line="240" w:lineRule="auto"/>
        <w:ind w:firstLine="709"/>
        <w:jc w:val="center"/>
        <w:rPr>
          <w:rFonts w:eastAsiaTheme="minorHAnsi" w:cstheme="minorBidi"/>
          <w:b/>
          <w:iCs/>
          <w:color w:val="008000"/>
          <w:sz w:val="20"/>
          <w:szCs w:val="20"/>
          <w:lang w:eastAsia="en-US"/>
        </w:rPr>
      </w:pPr>
    </w:p>
    <w:p w:rsidR="0013697D" w:rsidRDefault="0013697D" w:rsidP="00D31591">
      <w:pPr>
        <w:pStyle w:val="szovegtorzs0"/>
        <w:spacing w:line="240" w:lineRule="auto"/>
        <w:ind w:firstLine="709"/>
        <w:jc w:val="center"/>
        <w:rPr>
          <w:rFonts w:eastAsiaTheme="minorHAnsi" w:cstheme="minorBidi"/>
          <w:b/>
          <w:iCs/>
          <w:color w:val="008000"/>
          <w:sz w:val="20"/>
          <w:szCs w:val="20"/>
          <w:lang w:eastAsia="en-US"/>
        </w:rPr>
      </w:pPr>
    </w:p>
    <w:p w:rsidR="00D31591" w:rsidRPr="00DB67BD" w:rsidRDefault="00D31591" w:rsidP="00D31591">
      <w:pPr>
        <w:pStyle w:val="szovegtorzs0"/>
        <w:spacing w:line="240" w:lineRule="auto"/>
        <w:ind w:firstLine="709"/>
        <w:jc w:val="center"/>
        <w:rPr>
          <w:rFonts w:eastAsiaTheme="minorHAnsi" w:cstheme="minorBidi"/>
          <w:b/>
          <w:iCs/>
          <w:color w:val="008000"/>
          <w:sz w:val="20"/>
          <w:szCs w:val="20"/>
          <w:lang w:eastAsia="en-US"/>
        </w:rPr>
      </w:pPr>
      <w:r w:rsidRPr="00DB67BD">
        <w:rPr>
          <w:rFonts w:eastAsiaTheme="minorHAnsi" w:cstheme="minorBidi"/>
          <w:b/>
          <w:iCs/>
          <w:color w:val="008000"/>
          <w:sz w:val="20"/>
          <w:szCs w:val="20"/>
          <w:lang w:eastAsia="en-US"/>
        </w:rPr>
        <w:t>1. táblázat – A foglalkoztatottak száma és összes foglalkoztatotthoz viszonyított aránya az egyes automatizációs kategóriákhoz tartozó szakmákban</w:t>
      </w:r>
    </w:p>
    <w:tbl>
      <w:tblPr>
        <w:tblW w:w="4641" w:type="dxa"/>
        <w:jc w:val="center"/>
        <w:tblCellMar>
          <w:left w:w="70" w:type="dxa"/>
          <w:right w:w="70" w:type="dxa"/>
        </w:tblCellMar>
        <w:tblLook w:val="04A0" w:firstRow="1" w:lastRow="0" w:firstColumn="1" w:lastColumn="0" w:noHBand="0" w:noVBand="1"/>
      </w:tblPr>
      <w:tblGrid>
        <w:gridCol w:w="1729"/>
        <w:gridCol w:w="2568"/>
        <w:gridCol w:w="360"/>
      </w:tblGrid>
      <w:tr w:rsidR="00D31591" w:rsidRPr="00397FEC" w:rsidTr="00DB67BD">
        <w:trPr>
          <w:trHeight w:val="312"/>
          <w:jc w:val="center"/>
        </w:trPr>
        <w:tc>
          <w:tcPr>
            <w:tcW w:w="1713" w:type="dxa"/>
            <w:tcBorders>
              <w:top w:val="nil"/>
              <w:left w:val="nil"/>
              <w:bottom w:val="nil"/>
              <w:right w:val="nil"/>
            </w:tcBorders>
            <w:shd w:val="clear" w:color="auto" w:fill="auto"/>
            <w:noWrap/>
            <w:vAlign w:val="bottom"/>
            <w:hideMark/>
          </w:tcPr>
          <w:p w:rsidR="00D31591" w:rsidRPr="00397FEC" w:rsidRDefault="00D31591" w:rsidP="00D31591">
            <w:pPr>
              <w:spacing w:after="0" w:line="240" w:lineRule="auto"/>
              <w:rPr>
                <w:rFonts w:eastAsia="Times New Roman" w:cs="Times New Roman"/>
                <w:sz w:val="24"/>
                <w:szCs w:val="24"/>
                <w:lang w:eastAsia="hu-HU"/>
              </w:rPr>
            </w:pPr>
          </w:p>
        </w:tc>
        <w:tc>
          <w:tcPr>
            <w:tcW w:w="2928" w:type="dxa"/>
            <w:gridSpan w:val="2"/>
            <w:tcBorders>
              <w:top w:val="nil"/>
              <w:left w:val="nil"/>
              <w:bottom w:val="nil"/>
              <w:right w:val="nil"/>
            </w:tcBorders>
            <w:shd w:val="clear" w:color="auto" w:fill="auto"/>
            <w:noWrap/>
            <w:vAlign w:val="bottom"/>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Foglalkoztatottak</w:t>
            </w:r>
          </w:p>
        </w:tc>
      </w:tr>
      <w:tr w:rsidR="00D31591" w:rsidRPr="00397FEC" w:rsidTr="00DB67BD">
        <w:trPr>
          <w:trHeight w:val="312"/>
          <w:jc w:val="center"/>
        </w:trPr>
        <w:tc>
          <w:tcPr>
            <w:tcW w:w="1713" w:type="dxa"/>
            <w:tcBorders>
              <w:top w:val="nil"/>
              <w:left w:val="nil"/>
              <w:bottom w:val="single" w:sz="4" w:space="0" w:color="auto"/>
              <w:right w:val="nil"/>
            </w:tcBorders>
            <w:shd w:val="clear" w:color="auto" w:fill="auto"/>
            <w:noWrap/>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 </w:t>
            </w:r>
          </w:p>
        </w:tc>
        <w:tc>
          <w:tcPr>
            <w:tcW w:w="2568" w:type="dxa"/>
            <w:tcBorders>
              <w:top w:val="nil"/>
              <w:left w:val="nil"/>
              <w:bottom w:val="single" w:sz="4" w:space="0" w:color="auto"/>
              <w:right w:val="nil"/>
            </w:tcBorders>
            <w:shd w:val="clear" w:color="auto" w:fill="auto"/>
            <w:noWrap/>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N</w:t>
            </w:r>
          </w:p>
        </w:tc>
        <w:tc>
          <w:tcPr>
            <w:tcW w:w="360" w:type="dxa"/>
            <w:tcBorders>
              <w:top w:val="nil"/>
              <w:left w:val="nil"/>
              <w:bottom w:val="single" w:sz="4" w:space="0" w:color="auto"/>
              <w:right w:val="nil"/>
            </w:tcBorders>
            <w:shd w:val="clear" w:color="auto" w:fill="auto"/>
            <w:noWrap/>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w:t>
            </w:r>
          </w:p>
        </w:tc>
      </w:tr>
      <w:tr w:rsidR="00D31591" w:rsidRPr="00397FEC" w:rsidTr="00DB67BD">
        <w:trPr>
          <w:trHeight w:val="312"/>
          <w:jc w:val="center"/>
        </w:trPr>
        <w:tc>
          <w:tcPr>
            <w:tcW w:w="1713" w:type="dxa"/>
            <w:tcBorders>
              <w:top w:val="nil"/>
              <w:left w:val="nil"/>
              <w:bottom w:val="nil"/>
              <w:right w:val="nil"/>
            </w:tcBorders>
            <w:shd w:val="clear" w:color="auto" w:fill="auto"/>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nem automatizálható</w:t>
            </w:r>
          </w:p>
        </w:tc>
        <w:tc>
          <w:tcPr>
            <w:tcW w:w="256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 xml:space="preserve">             665 282 </w:t>
            </w:r>
          </w:p>
        </w:tc>
        <w:tc>
          <w:tcPr>
            <w:tcW w:w="360"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18</w:t>
            </w:r>
          </w:p>
        </w:tc>
      </w:tr>
      <w:tr w:rsidR="00D31591" w:rsidRPr="00397FEC" w:rsidTr="00DB67BD">
        <w:trPr>
          <w:trHeight w:val="936"/>
          <w:jc w:val="center"/>
        </w:trPr>
        <w:tc>
          <w:tcPr>
            <w:tcW w:w="1713" w:type="dxa"/>
            <w:tcBorders>
              <w:top w:val="nil"/>
              <w:left w:val="nil"/>
              <w:bottom w:val="nil"/>
              <w:right w:val="nil"/>
            </w:tcBorders>
            <w:shd w:val="clear" w:color="auto" w:fill="auto"/>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többségében nem automatizálható részfeladatok</w:t>
            </w:r>
          </w:p>
        </w:tc>
        <w:tc>
          <w:tcPr>
            <w:tcW w:w="256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 xml:space="preserve">             339 843 </w:t>
            </w:r>
          </w:p>
        </w:tc>
        <w:tc>
          <w:tcPr>
            <w:tcW w:w="360"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9</w:t>
            </w:r>
          </w:p>
        </w:tc>
      </w:tr>
      <w:tr w:rsidR="00D31591" w:rsidRPr="00397FEC" w:rsidTr="00DB67BD">
        <w:trPr>
          <w:trHeight w:val="624"/>
          <w:jc w:val="center"/>
        </w:trPr>
        <w:tc>
          <w:tcPr>
            <w:tcW w:w="1713" w:type="dxa"/>
            <w:tcBorders>
              <w:top w:val="nil"/>
              <w:left w:val="nil"/>
              <w:bottom w:val="nil"/>
              <w:right w:val="nil"/>
            </w:tcBorders>
            <w:shd w:val="clear" w:color="auto" w:fill="auto"/>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részben automatizálható</w:t>
            </w:r>
          </w:p>
        </w:tc>
        <w:tc>
          <w:tcPr>
            <w:tcW w:w="256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 xml:space="preserve">          1 043 612 </w:t>
            </w:r>
          </w:p>
        </w:tc>
        <w:tc>
          <w:tcPr>
            <w:tcW w:w="360"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28</w:t>
            </w:r>
          </w:p>
        </w:tc>
      </w:tr>
      <w:tr w:rsidR="00D31591" w:rsidRPr="00397FEC" w:rsidTr="00DB67BD">
        <w:trPr>
          <w:trHeight w:val="936"/>
          <w:jc w:val="center"/>
        </w:trPr>
        <w:tc>
          <w:tcPr>
            <w:tcW w:w="1713" w:type="dxa"/>
            <w:tcBorders>
              <w:top w:val="nil"/>
              <w:left w:val="nil"/>
              <w:bottom w:val="nil"/>
              <w:right w:val="nil"/>
            </w:tcBorders>
            <w:shd w:val="clear" w:color="auto" w:fill="auto"/>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többségében automatizálható részfeladatok</w:t>
            </w:r>
          </w:p>
        </w:tc>
        <w:tc>
          <w:tcPr>
            <w:tcW w:w="256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 xml:space="preserve">             567 313 </w:t>
            </w:r>
          </w:p>
        </w:tc>
        <w:tc>
          <w:tcPr>
            <w:tcW w:w="360"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15</w:t>
            </w:r>
          </w:p>
        </w:tc>
      </w:tr>
      <w:tr w:rsidR="00D31591" w:rsidRPr="00397FEC" w:rsidTr="00DB67BD">
        <w:trPr>
          <w:trHeight w:val="312"/>
          <w:jc w:val="center"/>
        </w:trPr>
        <w:tc>
          <w:tcPr>
            <w:tcW w:w="1713" w:type="dxa"/>
            <w:tcBorders>
              <w:top w:val="nil"/>
              <w:left w:val="nil"/>
              <w:bottom w:val="nil"/>
              <w:right w:val="nil"/>
            </w:tcBorders>
            <w:shd w:val="clear" w:color="auto" w:fill="auto"/>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automatizálható</w:t>
            </w:r>
          </w:p>
        </w:tc>
        <w:tc>
          <w:tcPr>
            <w:tcW w:w="256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 xml:space="preserve">             164 496 </w:t>
            </w:r>
          </w:p>
        </w:tc>
        <w:tc>
          <w:tcPr>
            <w:tcW w:w="360"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lang w:eastAsia="hu-HU"/>
              </w:rPr>
            </w:pPr>
            <w:r w:rsidRPr="00397FEC">
              <w:rPr>
                <w:rFonts w:eastAsia="Times New Roman" w:cs="Calibri"/>
                <w:color w:val="000000"/>
                <w:lang w:eastAsia="hu-HU"/>
              </w:rPr>
              <w:t>4</w:t>
            </w:r>
          </w:p>
        </w:tc>
      </w:tr>
      <w:tr w:rsidR="00D31591" w:rsidRPr="00397FEC" w:rsidTr="00DB67BD">
        <w:trPr>
          <w:trHeight w:val="312"/>
          <w:jc w:val="center"/>
        </w:trPr>
        <w:tc>
          <w:tcPr>
            <w:tcW w:w="1713" w:type="dxa"/>
            <w:tcBorders>
              <w:top w:val="nil"/>
              <w:left w:val="nil"/>
              <w:bottom w:val="single" w:sz="4" w:space="0" w:color="auto"/>
              <w:right w:val="nil"/>
            </w:tcBorders>
            <w:shd w:val="clear" w:color="auto" w:fill="auto"/>
            <w:vAlign w:val="bottom"/>
            <w:hideMark/>
          </w:tcPr>
          <w:p w:rsidR="00D31591" w:rsidRPr="00397FEC" w:rsidRDefault="00D31591" w:rsidP="00D31591">
            <w:pPr>
              <w:spacing w:after="0" w:line="240" w:lineRule="auto"/>
              <w:rPr>
                <w:rFonts w:eastAsia="Times New Roman" w:cs="Calibri"/>
                <w:i/>
                <w:iCs/>
                <w:color w:val="000000"/>
                <w:lang w:eastAsia="hu-HU"/>
              </w:rPr>
            </w:pPr>
            <w:r w:rsidRPr="00397FEC">
              <w:rPr>
                <w:rFonts w:eastAsia="Times New Roman" w:cs="Calibri"/>
                <w:i/>
                <w:iCs/>
                <w:color w:val="000000"/>
                <w:lang w:eastAsia="hu-HU"/>
              </w:rPr>
              <w:t>nem besorolható</w:t>
            </w:r>
          </w:p>
        </w:tc>
        <w:tc>
          <w:tcPr>
            <w:tcW w:w="2568"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i/>
                <w:iCs/>
                <w:color w:val="000000"/>
                <w:lang w:eastAsia="hu-HU"/>
              </w:rPr>
            </w:pPr>
            <w:r w:rsidRPr="00397FEC">
              <w:rPr>
                <w:rFonts w:eastAsia="Times New Roman" w:cs="Calibri"/>
                <w:i/>
                <w:iCs/>
                <w:color w:val="000000"/>
                <w:lang w:eastAsia="hu-HU"/>
              </w:rPr>
              <w:t xml:space="preserve">            963 143 </w:t>
            </w:r>
          </w:p>
        </w:tc>
        <w:tc>
          <w:tcPr>
            <w:tcW w:w="360"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i/>
                <w:iCs/>
                <w:color w:val="000000"/>
                <w:lang w:eastAsia="hu-HU"/>
              </w:rPr>
            </w:pPr>
            <w:r w:rsidRPr="00397FEC">
              <w:rPr>
                <w:rFonts w:eastAsia="Times New Roman" w:cs="Calibri"/>
                <w:i/>
                <w:iCs/>
                <w:color w:val="000000"/>
                <w:lang w:eastAsia="hu-HU"/>
              </w:rPr>
              <w:t>26</w:t>
            </w:r>
          </w:p>
        </w:tc>
      </w:tr>
      <w:tr w:rsidR="00D31591" w:rsidRPr="00397FEC" w:rsidTr="00DB67BD">
        <w:trPr>
          <w:trHeight w:val="312"/>
          <w:jc w:val="center"/>
        </w:trPr>
        <w:tc>
          <w:tcPr>
            <w:tcW w:w="1713" w:type="dxa"/>
            <w:tcBorders>
              <w:top w:val="nil"/>
              <w:left w:val="nil"/>
              <w:bottom w:val="nil"/>
              <w:right w:val="nil"/>
            </w:tcBorders>
            <w:shd w:val="clear" w:color="auto" w:fill="auto"/>
            <w:noWrap/>
            <w:vAlign w:val="bottom"/>
            <w:hideMark/>
          </w:tcPr>
          <w:p w:rsidR="00D31591" w:rsidRPr="00397FEC" w:rsidRDefault="00D31591" w:rsidP="00D31591">
            <w:pPr>
              <w:spacing w:after="0" w:line="240" w:lineRule="auto"/>
              <w:rPr>
                <w:rFonts w:eastAsia="Times New Roman" w:cs="Calibri"/>
                <w:b/>
                <w:bCs/>
                <w:color w:val="000000"/>
                <w:lang w:eastAsia="hu-HU"/>
              </w:rPr>
            </w:pPr>
            <w:r w:rsidRPr="00397FEC">
              <w:rPr>
                <w:rFonts w:eastAsia="Times New Roman" w:cs="Calibri"/>
                <w:b/>
                <w:bCs/>
                <w:color w:val="000000"/>
                <w:lang w:eastAsia="hu-HU"/>
              </w:rPr>
              <w:t>Összesen</w:t>
            </w:r>
          </w:p>
        </w:tc>
        <w:tc>
          <w:tcPr>
            <w:tcW w:w="2568" w:type="dxa"/>
            <w:tcBorders>
              <w:top w:val="nil"/>
              <w:left w:val="nil"/>
              <w:bottom w:val="nil"/>
              <w:right w:val="nil"/>
            </w:tcBorders>
            <w:shd w:val="clear" w:color="auto" w:fill="auto"/>
            <w:noWrap/>
            <w:vAlign w:val="bottom"/>
            <w:hideMark/>
          </w:tcPr>
          <w:p w:rsidR="00D31591" w:rsidRPr="00397FEC" w:rsidRDefault="00D31591" w:rsidP="00D31591">
            <w:pPr>
              <w:spacing w:after="0" w:line="240" w:lineRule="auto"/>
              <w:rPr>
                <w:rFonts w:eastAsia="Times New Roman" w:cs="Calibri"/>
                <w:color w:val="000000"/>
                <w:lang w:eastAsia="hu-HU"/>
              </w:rPr>
            </w:pPr>
            <w:r w:rsidRPr="00397FEC">
              <w:rPr>
                <w:rFonts w:eastAsia="Times New Roman" w:cs="Calibri"/>
                <w:color w:val="000000"/>
                <w:lang w:eastAsia="hu-HU"/>
              </w:rPr>
              <w:t xml:space="preserve">          3 743 689 </w:t>
            </w:r>
          </w:p>
        </w:tc>
        <w:tc>
          <w:tcPr>
            <w:tcW w:w="360" w:type="dxa"/>
            <w:tcBorders>
              <w:top w:val="nil"/>
              <w:left w:val="nil"/>
              <w:bottom w:val="nil"/>
              <w:right w:val="nil"/>
            </w:tcBorders>
            <w:shd w:val="clear" w:color="auto" w:fill="auto"/>
            <w:noWrap/>
            <w:vAlign w:val="bottom"/>
            <w:hideMark/>
          </w:tcPr>
          <w:p w:rsidR="00D31591" w:rsidRPr="00397FEC" w:rsidRDefault="00D31591" w:rsidP="00D31591">
            <w:pPr>
              <w:spacing w:after="0" w:line="240" w:lineRule="auto"/>
              <w:rPr>
                <w:rFonts w:eastAsia="Times New Roman" w:cs="Calibri"/>
                <w:color w:val="000000"/>
                <w:lang w:eastAsia="hu-HU"/>
              </w:rPr>
            </w:pPr>
          </w:p>
        </w:tc>
      </w:tr>
    </w:tbl>
    <w:p w:rsidR="00D31591" w:rsidRDefault="00D31591" w:rsidP="00D31591">
      <w:pPr>
        <w:rPr>
          <w:sz w:val="24"/>
          <w:szCs w:val="24"/>
        </w:rPr>
        <w:sectPr w:rsidR="00D31591" w:rsidSect="00D31591">
          <w:type w:val="continuous"/>
          <w:pgSz w:w="11906" w:h="16838"/>
          <w:pgMar w:top="1134" w:right="1134" w:bottom="1276" w:left="1134" w:header="709" w:footer="709" w:gutter="0"/>
          <w:cols w:space="708"/>
        </w:sectPr>
      </w:pPr>
    </w:p>
    <w:p w:rsidR="00D31591" w:rsidRDefault="00D31591" w:rsidP="00D31591">
      <w:pPr>
        <w:rPr>
          <w:sz w:val="24"/>
          <w:szCs w:val="24"/>
        </w:rPr>
        <w:sectPr w:rsidR="00D31591" w:rsidSect="00D31591">
          <w:type w:val="continuous"/>
          <w:pgSz w:w="11906" w:h="16838"/>
          <w:pgMar w:top="1134" w:right="1134" w:bottom="1276" w:left="1134" w:header="709" w:footer="709" w:gutter="0"/>
          <w:cols w:space="708"/>
        </w:sectPr>
      </w:pPr>
    </w:p>
    <w:p w:rsidR="00D31591" w:rsidRPr="00397FEC" w:rsidRDefault="00D31591" w:rsidP="00D31591">
      <w:pPr>
        <w:rPr>
          <w:sz w:val="24"/>
          <w:szCs w:val="24"/>
        </w:rPr>
      </w:pPr>
    </w:p>
    <w:p w:rsidR="00DB67BD" w:rsidRDefault="00DB67BD" w:rsidP="00D31591">
      <w:pPr>
        <w:jc w:val="both"/>
        <w:sectPr w:rsidR="00DB67BD" w:rsidSect="00D31591">
          <w:type w:val="continuous"/>
          <w:pgSz w:w="11906" w:h="16838"/>
          <w:pgMar w:top="1134" w:right="1134" w:bottom="1276" w:left="1134" w:header="709" w:footer="709" w:gutter="0"/>
          <w:cols w:space="708"/>
        </w:sectPr>
      </w:pPr>
    </w:p>
    <w:p w:rsidR="00D31591" w:rsidRPr="004059FB" w:rsidRDefault="00D31591" w:rsidP="00D31591">
      <w:pPr>
        <w:jc w:val="both"/>
        <w:rPr>
          <w:color w:val="404040" w:themeColor="text1" w:themeTint="BF"/>
        </w:rPr>
      </w:pPr>
      <w:r w:rsidRPr="004059FB">
        <w:rPr>
          <w:color w:val="404040" w:themeColor="text1" w:themeTint="BF"/>
        </w:rPr>
        <w:t>Az automatizálható szakmákban dolgozók aránya a szakképzettséget nem igénylő, egyszerű foglalkozások esetében a legmagasabb. Az ilyen szakmákban dolgozók 15%-a (körülbelül 69 ezer fő) automatizálható feladatokat végez, további 24%-uk (kb. 99 ezer fő) olyan szakmában dolgozik, melynek részfeladatai többségében automatizálhatóak. Az érintett 167 ezer főből a legtöbben, 135 ezren „egyszerű szolgáltatási, szállítási és hasonló foglalkozásokban” (ide tartoznak pl. a rakodómunkások, árufeltöltők, kézi csomagolók, kézbesítők, hordárok) dolgoznak.</w:t>
      </w:r>
    </w:p>
    <w:p w:rsidR="00D31591" w:rsidRPr="004059FB" w:rsidRDefault="00D31591" w:rsidP="00D31591">
      <w:pPr>
        <w:jc w:val="both"/>
        <w:rPr>
          <w:color w:val="404040" w:themeColor="text1" w:themeTint="BF"/>
        </w:rPr>
      </w:pPr>
      <w:r w:rsidRPr="004059FB">
        <w:rPr>
          <w:color w:val="404040" w:themeColor="text1" w:themeTint="BF"/>
        </w:rPr>
        <w:t xml:space="preserve">Az irodai, ügyviteli és ügyfélkapcsolati foglalkozások főcsoportjában körülbelül 3 ezer fő, az ilyen szakmákban dolgozók mindössze 1%-a, végez teljesen automatizálható feladatokat. További 166 ezer fő (a foglalkozási csoportba soroltak 75%-a azonban többségében automatizálható feladatokat lát el, így az adminisztrációs szakmákban dolgozók 76%-a többségében vagy egészében automatizálható feladatokat végez a munkája során. A foglalkozás-főcsoportok közül itt a legmagasabb a leginkább érintett szakmákban dolgozók száma. Közülük a legtöbben, 157 ezren az </w:t>
      </w:r>
      <w:r w:rsidRPr="004059FB">
        <w:rPr>
          <w:color w:val="404040" w:themeColor="text1" w:themeTint="BF"/>
        </w:rPr>
        <w:lastRenderedPageBreak/>
        <w:t>„irodai és ügyviteli” foglalkozásokban dolgoznak.</w:t>
      </w:r>
    </w:p>
    <w:p w:rsidR="00D31591" w:rsidRPr="004059FB" w:rsidRDefault="00D31591" w:rsidP="00D31591">
      <w:pPr>
        <w:jc w:val="both"/>
        <w:rPr>
          <w:color w:val="404040" w:themeColor="text1" w:themeTint="BF"/>
        </w:rPr>
      </w:pPr>
      <w:r w:rsidRPr="004059FB">
        <w:rPr>
          <w:color w:val="404040" w:themeColor="text1" w:themeTint="BF"/>
        </w:rPr>
        <w:t xml:space="preserve">A gépkezelő, összeszerelő és járművezető szakmák csoportjában a munkavállalók 14%-át (54 ezer fő) foglalkoztatják automatizálható, 24%-át többségében automatizálható szakmákban. Az átlagnál magasabb az automatizálható foglalkoztatottak aránya az ipari és építőipari foglalkozások esetében is: a foglalkoztatottak 15%-a (kb. 17 ezer fő) automatizálható, további 43%-uk (kb. 111 ezer foglalkoztatott) pedig nagy részében automatizálható szakmában dolgozik. </w:t>
      </w:r>
    </w:p>
    <w:p w:rsidR="00D31591" w:rsidRPr="004059FB" w:rsidRDefault="00D31591" w:rsidP="00D31591">
      <w:pPr>
        <w:jc w:val="both"/>
        <w:rPr>
          <w:color w:val="404040" w:themeColor="text1" w:themeTint="BF"/>
        </w:rPr>
      </w:pPr>
      <w:r w:rsidRPr="004059FB">
        <w:rPr>
          <w:color w:val="404040" w:themeColor="text1" w:themeTint="BF"/>
        </w:rPr>
        <w:t xml:space="preserve">A kereskedelmi és szolgáltatási foglalkozások főcsoportjában a foglalkoztatottak 18%-a (77 ezer fő) dolgozik teljesen vagy többségében automatizálható részfeladatokból álló szakmákban. Közülük 58 ezren (az ehhez a főcsoporthoz tartozó szakmákban foglalkoztatottak 14%-a) dolgozik a nagy valószínűséggel automatizálható szakmákban. </w:t>
      </w:r>
    </w:p>
    <w:p w:rsidR="00D31591" w:rsidRPr="004059FB" w:rsidRDefault="00D31591" w:rsidP="00D31591">
      <w:pPr>
        <w:jc w:val="both"/>
        <w:rPr>
          <w:color w:val="404040" w:themeColor="text1" w:themeTint="BF"/>
        </w:rPr>
      </w:pPr>
      <w:r w:rsidRPr="004059FB">
        <w:rPr>
          <w:color w:val="404040" w:themeColor="text1" w:themeTint="BF"/>
        </w:rPr>
        <w:t>A mezőgazdálkodási és erdőgazdálkodási foglalkozásokban kevesebb, mint ezer fő dolgozik automatizálható szakmában, ami az összes ilyen szakmában foglalkoztatott 3%-át jelenti. További 42%-uk, kb 10 ezer fő, azonban olyan foglalkozást űz, amelyek részfeladatainak többsége automatizálható lehet.</w:t>
      </w:r>
    </w:p>
    <w:p w:rsidR="00DB67BD" w:rsidRDefault="00D31591" w:rsidP="00D31591">
      <w:pPr>
        <w:jc w:val="both"/>
        <w:rPr>
          <w:color w:val="404040" w:themeColor="text1" w:themeTint="BF"/>
        </w:rPr>
      </w:pPr>
      <w:r w:rsidRPr="004059FB">
        <w:rPr>
          <w:color w:val="404040" w:themeColor="text1" w:themeTint="BF"/>
        </w:rPr>
        <w:t>A legkevésbé automatizálható foglalkozásoknak a felsőfokú végzettséget igénylő szakmák tekinthetőek. A felsőfokú képzettség önálló alkalmazását igénylő foglalkozások és az egyéb felsőfokú vagy középfokú képzettséget igénylő foglalkozások esetében nem találtunk olyan szakmákat, amelyek teljes egészében automatizálhatóak lennének. Utóbbi csoportban a foglalkoztatottak 8%-a (28 ezer fő) ugyanakkor olyan szakmában dolgozik, amely többségében automatizálható részfeladatokat tartalmaz.</w:t>
      </w:r>
    </w:p>
    <w:p w:rsidR="004059FB" w:rsidRPr="004059FB" w:rsidRDefault="004059FB" w:rsidP="00D31591">
      <w:pPr>
        <w:jc w:val="both"/>
        <w:rPr>
          <w:color w:val="404040" w:themeColor="text1" w:themeTint="BF"/>
        </w:rPr>
        <w:sectPr w:rsidR="004059FB" w:rsidRPr="004059FB" w:rsidSect="00DB67BD">
          <w:type w:val="continuous"/>
          <w:pgSz w:w="11906" w:h="16838"/>
          <w:pgMar w:top="1134" w:right="1134" w:bottom="1276" w:left="1134" w:header="709" w:footer="709" w:gutter="0"/>
          <w:cols w:num="2" w:space="708"/>
        </w:sectPr>
      </w:pPr>
    </w:p>
    <w:p w:rsidR="00DB67BD" w:rsidRDefault="00DB67BD" w:rsidP="00D31591">
      <w:pPr>
        <w:jc w:val="both"/>
        <w:sectPr w:rsidR="00DB67BD" w:rsidSect="00D31591">
          <w:type w:val="continuous"/>
          <w:pgSz w:w="11906" w:h="16838"/>
          <w:pgMar w:top="1134" w:right="1134" w:bottom="1276" w:left="1134" w:header="709" w:footer="709" w:gutter="0"/>
          <w:cols w:space="708"/>
        </w:sectPr>
      </w:pPr>
    </w:p>
    <w:p w:rsidR="00ED7492" w:rsidRDefault="00ED7492">
      <w:pPr>
        <w:rPr>
          <w:b/>
          <w:iCs/>
          <w:color w:val="008000"/>
          <w:sz w:val="20"/>
          <w:szCs w:val="20"/>
        </w:rPr>
      </w:pPr>
      <w:r>
        <w:rPr>
          <w:b/>
          <w:iCs/>
          <w:color w:val="008000"/>
          <w:sz w:val="20"/>
          <w:szCs w:val="20"/>
        </w:rPr>
        <w:br w:type="page"/>
      </w:r>
    </w:p>
    <w:p w:rsidR="00D31591" w:rsidRPr="00DB67BD" w:rsidRDefault="00D31591" w:rsidP="00D31591">
      <w:pPr>
        <w:pStyle w:val="szovegtorzs0"/>
        <w:spacing w:line="240" w:lineRule="auto"/>
        <w:ind w:firstLine="709"/>
        <w:jc w:val="center"/>
        <w:rPr>
          <w:rFonts w:eastAsiaTheme="minorHAnsi" w:cstheme="minorBidi"/>
          <w:b/>
          <w:iCs/>
          <w:color w:val="008000"/>
          <w:sz w:val="20"/>
          <w:szCs w:val="20"/>
          <w:lang w:eastAsia="en-US"/>
        </w:rPr>
      </w:pPr>
      <w:r w:rsidRPr="00DB67BD">
        <w:rPr>
          <w:rFonts w:eastAsiaTheme="minorHAnsi" w:cstheme="minorBidi"/>
          <w:b/>
          <w:iCs/>
          <w:color w:val="008000"/>
          <w:sz w:val="20"/>
          <w:szCs w:val="20"/>
          <w:lang w:eastAsia="en-US"/>
        </w:rPr>
        <w:lastRenderedPageBreak/>
        <w:t>2. táblázat – A többségében automatizálható részfeladatokat tartalmazó és az automatizálható szakmákban foglalkoztatottak száma a foglalkozási főcsoportok szerint</w:t>
      </w:r>
    </w:p>
    <w:tbl>
      <w:tblPr>
        <w:tblW w:w="9072" w:type="dxa"/>
        <w:tblLayout w:type="fixed"/>
        <w:tblCellMar>
          <w:left w:w="70" w:type="dxa"/>
          <w:right w:w="70" w:type="dxa"/>
        </w:tblCellMar>
        <w:tblLook w:val="04A0" w:firstRow="1" w:lastRow="0" w:firstColumn="1" w:lastColumn="0" w:noHBand="0" w:noVBand="1"/>
      </w:tblPr>
      <w:tblGrid>
        <w:gridCol w:w="2267"/>
        <w:gridCol w:w="1628"/>
        <w:gridCol w:w="1775"/>
        <w:gridCol w:w="1701"/>
        <w:gridCol w:w="1701"/>
      </w:tblGrid>
      <w:tr w:rsidR="00D31591" w:rsidRPr="00397FEC" w:rsidTr="00D31591">
        <w:trPr>
          <w:trHeight w:val="2310"/>
        </w:trPr>
        <w:tc>
          <w:tcPr>
            <w:tcW w:w="2267"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p>
        </w:tc>
        <w:tc>
          <w:tcPr>
            <w:tcW w:w="1628" w:type="dxa"/>
            <w:tcBorders>
              <w:top w:val="nil"/>
              <w:left w:val="nil"/>
              <w:bottom w:val="single" w:sz="4" w:space="0" w:color="auto"/>
              <w:right w:val="nil"/>
            </w:tcBorders>
            <w:shd w:val="clear" w:color="auto" w:fill="auto"/>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Többségében automatizálható részfeladatok</w:t>
            </w:r>
          </w:p>
        </w:tc>
        <w:tc>
          <w:tcPr>
            <w:tcW w:w="1775" w:type="dxa"/>
            <w:tcBorders>
              <w:top w:val="nil"/>
              <w:left w:val="nil"/>
              <w:bottom w:val="single" w:sz="4" w:space="0" w:color="auto"/>
              <w:right w:val="nil"/>
            </w:tcBorders>
            <w:shd w:val="clear" w:color="auto" w:fill="auto"/>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Automatizálható</w:t>
            </w:r>
          </w:p>
        </w:tc>
        <w:tc>
          <w:tcPr>
            <w:tcW w:w="1701" w:type="dxa"/>
            <w:tcBorders>
              <w:top w:val="nil"/>
              <w:left w:val="nil"/>
              <w:bottom w:val="single" w:sz="4" w:space="0" w:color="auto"/>
              <w:right w:val="nil"/>
            </w:tcBorders>
            <w:shd w:val="clear" w:color="auto" w:fill="auto"/>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Leginkább érintett szakmákban foglalkoztatottak száma</w:t>
            </w:r>
          </w:p>
        </w:tc>
        <w:tc>
          <w:tcPr>
            <w:tcW w:w="1701" w:type="dxa"/>
            <w:tcBorders>
              <w:top w:val="nil"/>
              <w:left w:val="nil"/>
              <w:bottom w:val="single" w:sz="4" w:space="0" w:color="auto"/>
              <w:right w:val="nil"/>
            </w:tcBorders>
            <w:shd w:val="clear" w:color="auto" w:fill="auto"/>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Összes foglalkoztatott a foglalkoztatás-csoportban</w:t>
            </w:r>
          </w:p>
        </w:tc>
      </w:tr>
      <w:tr w:rsidR="00D31591" w:rsidRPr="00397FEC" w:rsidTr="00D31591">
        <w:trPr>
          <w:trHeight w:val="144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Felsőfokú képzettség önálló alkalmazását igénylő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0</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0</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0</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469 797</w:t>
            </w:r>
          </w:p>
        </w:tc>
      </w:tr>
      <w:tr w:rsidR="00D31591" w:rsidRPr="00397FEC" w:rsidTr="00D31591">
        <w:trPr>
          <w:trHeight w:val="48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Egyéb felsőfokú vagy középfokú képzettséget igénylő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28 310</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0</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28 310</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471 224</w:t>
            </w:r>
          </w:p>
        </w:tc>
      </w:tr>
      <w:tr w:rsidR="00D31591" w:rsidRPr="00397FEC" w:rsidTr="00D31591">
        <w:trPr>
          <w:trHeight w:val="72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Kereskedelmi és szolgáltatási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58 432</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18 582</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77 014</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420 311</w:t>
            </w:r>
          </w:p>
        </w:tc>
      </w:tr>
      <w:tr w:rsidR="00D31591" w:rsidRPr="00397FEC" w:rsidTr="00D31591">
        <w:trPr>
          <w:trHeight w:val="72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Mezőgazdasági és erdőgazdálkodási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10 340</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831</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11 171</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24 574</w:t>
            </w:r>
          </w:p>
        </w:tc>
      </w:tr>
      <w:tr w:rsidR="00D31591" w:rsidRPr="00397FEC" w:rsidTr="00D31591">
        <w:trPr>
          <w:trHeight w:val="144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Irodai és ügyviteli, ügyfélkapcsolati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166 169</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3 128</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169 297</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222 185</w:t>
            </w:r>
          </w:p>
        </w:tc>
      </w:tr>
      <w:tr w:rsidR="00D31591" w:rsidRPr="00397FEC" w:rsidTr="00D31591">
        <w:trPr>
          <w:trHeight w:val="72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Gépkezelők, összeszerelők, járművezetők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94 549</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54 427</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148 976</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388 265</w:t>
            </w:r>
          </w:p>
        </w:tc>
      </w:tr>
      <w:tr w:rsidR="00D31591" w:rsidRPr="00397FEC" w:rsidTr="00D31591">
        <w:trPr>
          <w:trHeight w:val="1440"/>
        </w:trPr>
        <w:tc>
          <w:tcPr>
            <w:tcW w:w="2267"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Ipari és építőipari foglalkozások</w:t>
            </w:r>
          </w:p>
        </w:tc>
        <w:tc>
          <w:tcPr>
            <w:tcW w:w="1628"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110 726</w:t>
            </w:r>
          </w:p>
        </w:tc>
        <w:tc>
          <w:tcPr>
            <w:tcW w:w="1775"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18 656</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129 382</w:t>
            </w:r>
          </w:p>
        </w:tc>
        <w:tc>
          <w:tcPr>
            <w:tcW w:w="1701" w:type="dxa"/>
            <w:tcBorders>
              <w:top w:val="nil"/>
              <w:left w:val="nil"/>
              <w:bottom w:val="nil"/>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326 370</w:t>
            </w:r>
          </w:p>
        </w:tc>
      </w:tr>
      <w:tr w:rsidR="00D31591" w:rsidRPr="00397FEC" w:rsidTr="00D31591">
        <w:trPr>
          <w:trHeight w:val="480"/>
        </w:trPr>
        <w:tc>
          <w:tcPr>
            <w:tcW w:w="2267"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rPr>
                <w:rFonts w:eastAsia="Times New Roman" w:cs="Calibri"/>
                <w:color w:val="000000"/>
                <w:sz w:val="20"/>
                <w:szCs w:val="20"/>
                <w:lang w:eastAsia="hu-HU"/>
              </w:rPr>
            </w:pPr>
            <w:r w:rsidRPr="00397FEC">
              <w:rPr>
                <w:rFonts w:eastAsia="Times New Roman" w:cs="Calibri"/>
                <w:color w:val="000000"/>
                <w:sz w:val="20"/>
                <w:szCs w:val="20"/>
                <w:lang w:eastAsia="hu-HU"/>
              </w:rPr>
              <w:t>Szakképzettséget nem igénylő egyszerű foglalkozások</w:t>
            </w:r>
          </w:p>
        </w:tc>
        <w:tc>
          <w:tcPr>
            <w:tcW w:w="1628"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98 787</w:t>
            </w:r>
          </w:p>
        </w:tc>
        <w:tc>
          <w:tcPr>
            <w:tcW w:w="1775"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68 872</w:t>
            </w:r>
          </w:p>
        </w:tc>
        <w:tc>
          <w:tcPr>
            <w:tcW w:w="1701"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b/>
                <w:bCs/>
                <w:color w:val="000000"/>
                <w:sz w:val="20"/>
                <w:szCs w:val="20"/>
                <w:lang w:eastAsia="hu-HU"/>
              </w:rPr>
            </w:pPr>
            <w:r w:rsidRPr="00397FEC">
              <w:rPr>
                <w:rFonts w:eastAsia="Times New Roman" w:cs="Calibri"/>
                <w:b/>
                <w:bCs/>
                <w:color w:val="000000"/>
                <w:sz w:val="20"/>
                <w:szCs w:val="20"/>
                <w:lang w:eastAsia="hu-HU"/>
              </w:rPr>
              <w:t>167 659</w:t>
            </w:r>
          </w:p>
        </w:tc>
        <w:tc>
          <w:tcPr>
            <w:tcW w:w="1701" w:type="dxa"/>
            <w:tcBorders>
              <w:top w:val="nil"/>
              <w:left w:val="nil"/>
              <w:bottom w:val="single" w:sz="4" w:space="0" w:color="auto"/>
              <w:right w:val="nil"/>
            </w:tcBorders>
            <w:shd w:val="clear" w:color="auto" w:fill="auto"/>
            <w:noWrap/>
            <w:vAlign w:val="center"/>
            <w:hideMark/>
          </w:tcPr>
          <w:p w:rsidR="00D31591" w:rsidRPr="00397FEC" w:rsidRDefault="00D31591" w:rsidP="00D31591">
            <w:pPr>
              <w:spacing w:after="0" w:line="240" w:lineRule="auto"/>
              <w:jc w:val="center"/>
              <w:rPr>
                <w:rFonts w:eastAsia="Times New Roman" w:cs="Calibri"/>
                <w:color w:val="000000"/>
                <w:sz w:val="20"/>
                <w:szCs w:val="20"/>
                <w:lang w:eastAsia="hu-HU"/>
              </w:rPr>
            </w:pPr>
            <w:r w:rsidRPr="00397FEC">
              <w:rPr>
                <w:rFonts w:eastAsia="Times New Roman" w:cs="Calibri"/>
                <w:color w:val="000000"/>
                <w:sz w:val="20"/>
                <w:szCs w:val="20"/>
                <w:lang w:eastAsia="hu-HU"/>
              </w:rPr>
              <w:t>457 821</w:t>
            </w:r>
          </w:p>
        </w:tc>
      </w:tr>
    </w:tbl>
    <w:p w:rsidR="00D31591" w:rsidRDefault="00D31591" w:rsidP="00D31591">
      <w:pPr>
        <w:pStyle w:val="szovegtorzs0"/>
      </w:pPr>
    </w:p>
    <w:p w:rsidR="00DB67BD" w:rsidRDefault="00DB67BD" w:rsidP="00D31591">
      <w:pPr>
        <w:pStyle w:val="szovegtorzs0"/>
        <w:sectPr w:rsidR="00DB67BD" w:rsidSect="00D31591">
          <w:type w:val="continuous"/>
          <w:pgSz w:w="11906" w:h="16838"/>
          <w:pgMar w:top="1134" w:right="1134" w:bottom="1276" w:left="1134" w:header="709" w:footer="709" w:gutter="0"/>
          <w:cols w:space="708"/>
        </w:sectPr>
      </w:pPr>
    </w:p>
    <w:p w:rsidR="00DB67BD" w:rsidRPr="00860341" w:rsidRDefault="00DB67BD" w:rsidP="00860341">
      <w:pPr>
        <w:rPr>
          <w:rFonts w:eastAsiaTheme="minorEastAsia" w:cs="Times New Roman"/>
          <w:sz w:val="24"/>
          <w:szCs w:val="24"/>
          <w:lang w:eastAsia="hu-HU"/>
        </w:rPr>
      </w:pPr>
      <w:r>
        <w:br w:type="page"/>
      </w:r>
    </w:p>
    <w:p w:rsidR="006C4BDF" w:rsidRDefault="002F3F6C" w:rsidP="006C4BDF">
      <w:pPr>
        <w:spacing w:line="240" w:lineRule="auto"/>
        <w:rPr>
          <w:rFonts w:eastAsia="Times New Roman" w:cs="Arial"/>
          <w:b/>
          <w:bCs/>
          <w:iCs/>
          <w:color w:val="008000"/>
          <w:sz w:val="28"/>
          <w:szCs w:val="28"/>
          <w:lang w:eastAsia="hu-HU"/>
        </w:rPr>
        <w:sectPr w:rsidR="006C4BDF" w:rsidSect="006C4BDF">
          <w:type w:val="continuous"/>
          <w:pgSz w:w="11906" w:h="16838"/>
          <w:pgMar w:top="1134" w:right="1134" w:bottom="1276" w:left="1134" w:header="709" w:footer="709" w:gutter="0"/>
          <w:cols w:space="708"/>
        </w:sectPr>
      </w:pPr>
      <w:r w:rsidRPr="00076018">
        <w:rPr>
          <w:rFonts w:eastAsia="Times New Roman" w:cs="Arial"/>
          <w:b/>
          <w:bCs/>
          <w:iCs/>
          <w:color w:val="008000"/>
          <w:sz w:val="28"/>
          <w:szCs w:val="28"/>
          <w:lang w:eastAsia="hu-HU"/>
        </w:rPr>
        <w:lastRenderedPageBreak/>
        <w:t>K</w:t>
      </w:r>
      <w:r w:rsidR="006C4BDF">
        <w:rPr>
          <w:rFonts w:eastAsia="Times New Roman" w:cs="Arial"/>
          <w:b/>
          <w:bCs/>
          <w:iCs/>
          <w:color w:val="008000"/>
          <w:sz w:val="28"/>
          <w:szCs w:val="28"/>
          <w:lang w:eastAsia="hu-HU"/>
        </w:rPr>
        <w:t xml:space="preserve">ínai multinacionális vállalatok </w:t>
      </w:r>
      <w:r w:rsidRPr="00076018">
        <w:rPr>
          <w:rFonts w:eastAsia="Times New Roman" w:cs="Arial"/>
          <w:b/>
          <w:bCs/>
          <w:iCs/>
          <w:color w:val="008000"/>
          <w:sz w:val="28"/>
          <w:szCs w:val="28"/>
          <w:lang w:eastAsia="hu-HU"/>
        </w:rPr>
        <w:t>Európában és Magyarországo</w:t>
      </w:r>
      <w:r w:rsidR="006C4BDF">
        <w:rPr>
          <w:rFonts w:eastAsia="Times New Roman" w:cs="Arial"/>
          <w:b/>
          <w:bCs/>
          <w:iCs/>
          <w:color w:val="008000"/>
          <w:sz w:val="28"/>
          <w:szCs w:val="28"/>
          <w:lang w:eastAsia="hu-HU"/>
        </w:rPr>
        <w:t>n</w:t>
      </w:r>
    </w:p>
    <w:p w:rsidR="002F3F6C" w:rsidRPr="00076018" w:rsidRDefault="002F3F6C" w:rsidP="00076018">
      <w:pPr>
        <w:spacing w:line="240" w:lineRule="auto"/>
        <w:jc w:val="both"/>
        <w:rPr>
          <w:rFonts w:eastAsia="Times New Roman" w:cs="Arial"/>
          <w:b/>
          <w:color w:val="404040" w:themeColor="text1" w:themeTint="BF"/>
          <w:lang w:eastAsia="ar-SA"/>
        </w:rPr>
      </w:pPr>
      <w:r w:rsidRPr="00076018">
        <w:rPr>
          <w:rFonts w:eastAsia="Times New Roman" w:cs="Arial"/>
          <w:b/>
          <w:color w:val="404040" w:themeColor="text1" w:themeTint="BF"/>
          <w:lang w:eastAsia="ar-SA"/>
        </w:rPr>
        <w:t>A kínai külföldi üzleti terjeszkedés újkeletű jelenségnek tekinthető, ami mindössze az elmúlt másfél évtizedben vált fontos tényezővé, amióta Kína nettó tőkeexportőrré vált. A határokon átívelő kínai üzleti terjeszkedés egy sajátos jellemzője az állam alapvető szerepe a kínai multinacionális vállalatok nemzetköziesítésében. Ezt számos szakpolitikai eszköz támogatta, köztük a híres “go global” stratégia, amely kínai vállalkozások ezreit bátorította külföldi, különösen európai befektetésekre. A kínai vállalatok külföldi terjeszkedése mögött olyan új készségek, fejlett technológiák, brandek és ellátási láncok megszerzése volt a fő motiváció, amelyek fokozzák a versenyelőnyöket a nemzetközi piacokon. A fúziók és felvásárlások (Mergers and Acquisitions, M&amp;A) váltak a vezető piacralépési módszerré, amelyek révén nagy volumenű felvásárlások jellemezték a kínai befektetéseket Európában. Ennek érdekében a kínai kiáramló FDI Európában néhány nagyobb gazdaságot célzott, különösen Németországot, az Egyesült Királyságot és Franciaországot – a befektetési aktivitás Dél- és Közép-Európában látott, különösen a 2008-as válság után felerősödött növekedése ellenére.</w:t>
      </w:r>
    </w:p>
    <w:p w:rsidR="00DF7215" w:rsidRDefault="00DF7215" w:rsidP="006C4BDF">
      <w:pPr>
        <w:spacing w:line="240" w:lineRule="auto"/>
        <w:jc w:val="both"/>
        <w:rPr>
          <w:rFonts w:eastAsia="Times New Roman" w:cs="Arial"/>
          <w:b/>
          <w:bCs/>
          <w:iCs/>
          <w:color w:val="008000"/>
          <w:sz w:val="24"/>
          <w:szCs w:val="24"/>
          <w:lang w:eastAsia="hu-HU"/>
        </w:rPr>
        <w:sectPr w:rsidR="00DF7215" w:rsidSect="006C4BDF">
          <w:type w:val="continuous"/>
          <w:pgSz w:w="11906" w:h="16838"/>
          <w:pgMar w:top="1134" w:right="1134" w:bottom="1276" w:left="1134" w:header="709" w:footer="709" w:gutter="0"/>
          <w:cols w:space="708"/>
        </w:sectPr>
      </w:pPr>
    </w:p>
    <w:p w:rsidR="00DF7215" w:rsidRDefault="00DF7215" w:rsidP="006C4BDF">
      <w:pPr>
        <w:spacing w:line="240" w:lineRule="auto"/>
        <w:jc w:val="both"/>
        <w:rPr>
          <w:rFonts w:eastAsia="Times New Roman" w:cs="Arial"/>
          <w:b/>
          <w:bCs/>
          <w:iCs/>
          <w:color w:val="008000"/>
          <w:sz w:val="24"/>
          <w:szCs w:val="24"/>
          <w:lang w:eastAsia="hu-HU"/>
        </w:rPr>
        <w:sectPr w:rsidR="00DF7215" w:rsidSect="006C4BDF">
          <w:type w:val="continuous"/>
          <w:pgSz w:w="11906" w:h="16838"/>
          <w:pgMar w:top="1134" w:right="1134" w:bottom="1276" w:left="1134" w:header="709" w:footer="709" w:gutter="0"/>
          <w:cols w:space="708"/>
        </w:sectPr>
      </w:pPr>
    </w:p>
    <w:p w:rsidR="002F3F6C" w:rsidRPr="006C4BDF" w:rsidRDefault="002F3F6C" w:rsidP="006C4BDF">
      <w:pPr>
        <w:spacing w:line="240" w:lineRule="auto"/>
        <w:jc w:val="both"/>
        <w:rPr>
          <w:rFonts w:eastAsia="Times New Roman" w:cs="Arial"/>
          <w:b/>
          <w:bCs/>
          <w:iCs/>
          <w:color w:val="008000"/>
          <w:sz w:val="24"/>
          <w:szCs w:val="24"/>
          <w:lang w:eastAsia="hu-HU"/>
        </w:rPr>
      </w:pPr>
      <w:r w:rsidRPr="006C4BDF">
        <w:rPr>
          <w:rFonts w:eastAsia="Times New Roman" w:cs="Arial"/>
          <w:b/>
          <w:bCs/>
          <w:iCs/>
          <w:color w:val="008000"/>
          <w:sz w:val="24"/>
          <w:szCs w:val="24"/>
          <w:lang w:eastAsia="hu-HU"/>
        </w:rPr>
        <w:t xml:space="preserve">A kínai üzletpolitika Európában – áttekintés </w:t>
      </w:r>
    </w:p>
    <w:p w:rsidR="00403CF6" w:rsidRPr="004059FB" w:rsidRDefault="002F3F6C" w:rsidP="002F3F6C">
      <w:pPr>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A kínai multinacionális vállalatok (MNC-k) befektetései az elmúlt másfél évtizedben váltak kiemelkedő jelentőségűvé a nemzetközi gazdaságban. Bár eleinte Kína hozzájárulása a globálisan kiáramló működőtőke-befektetésekhez historikusan alacsony volt, a 2000-es évek közepén drámaian megnőtt a </w:t>
      </w:r>
      <w:r w:rsidRPr="004059FB">
        <w:rPr>
          <w:rFonts w:ascii="Times New Roman" w:hAnsi="Times New Roman" w:cs="Times New Roman"/>
          <w:i/>
          <w:color w:val="404040" w:themeColor="text1" w:themeTint="BF"/>
          <w:sz w:val="24"/>
          <w:szCs w:val="24"/>
        </w:rPr>
        <w:t>zou chu qu</w:t>
      </w:r>
      <w:r w:rsidRPr="004059FB">
        <w:rPr>
          <w:rFonts w:ascii="Times New Roman" w:hAnsi="Times New Roman" w:cs="Times New Roman"/>
          <w:color w:val="404040" w:themeColor="text1" w:themeTint="BF"/>
          <w:sz w:val="24"/>
          <w:szCs w:val="24"/>
        </w:rPr>
        <w:t xml:space="preserve">, vagy </w:t>
      </w:r>
      <w:r w:rsidRPr="004059FB">
        <w:rPr>
          <w:rFonts w:ascii="Times New Roman" w:hAnsi="Times New Roman" w:cs="Times New Roman"/>
          <w:i/>
          <w:color w:val="404040" w:themeColor="text1" w:themeTint="BF"/>
          <w:sz w:val="24"/>
          <w:szCs w:val="24"/>
        </w:rPr>
        <w:t>go global</w:t>
      </w:r>
      <w:r w:rsidRPr="004059FB">
        <w:rPr>
          <w:rStyle w:val="Lbjegyzet-hivatkozs"/>
          <w:rFonts w:ascii="Times New Roman" w:hAnsi="Times New Roman" w:cs="Times New Roman"/>
          <w:color w:val="404040" w:themeColor="text1" w:themeTint="BF"/>
          <w:sz w:val="24"/>
          <w:szCs w:val="24"/>
        </w:rPr>
        <w:footnoteReference w:id="1"/>
      </w:r>
      <w:r w:rsidRPr="004059FB">
        <w:rPr>
          <w:rFonts w:ascii="Times New Roman" w:hAnsi="Times New Roman" w:cs="Times New Roman"/>
          <w:color w:val="404040" w:themeColor="text1" w:themeTint="BF"/>
          <w:sz w:val="24"/>
          <w:szCs w:val="24"/>
        </w:rPr>
        <w:t xml:space="preserve"> politikának köszönhetően. A kínai kormány ezzel az eszközzel kívánta kiszélesíteni az exportpiaci lehetőségeket, valamint növelni a kínai multinacionális vállalatok kapacitásait és tapasztalatszerzését.</w:t>
      </w:r>
      <w:r w:rsidRPr="004059FB">
        <w:rPr>
          <w:rStyle w:val="Lbjegyzet-hivatkozs"/>
          <w:rFonts w:ascii="Times New Roman" w:hAnsi="Times New Roman" w:cs="Times New Roman"/>
          <w:color w:val="404040" w:themeColor="text1" w:themeTint="BF"/>
          <w:sz w:val="24"/>
          <w:szCs w:val="24"/>
        </w:rPr>
        <w:footnoteReference w:id="2"/>
      </w:r>
      <w:r w:rsidRPr="004059FB">
        <w:rPr>
          <w:rFonts w:ascii="Times New Roman" w:hAnsi="Times New Roman" w:cs="Times New Roman"/>
          <w:color w:val="404040" w:themeColor="text1" w:themeTint="BF"/>
          <w:sz w:val="24"/>
          <w:szCs w:val="24"/>
        </w:rPr>
        <w:t xml:space="preserve"> Az 1. ábra a kínai kiáramló külföldi működőtőke-befektetések (Foreign Direct Inve</w:t>
      </w:r>
      <w:r w:rsidR="00403CF6" w:rsidRPr="004059FB">
        <w:rPr>
          <w:rFonts w:ascii="Times New Roman" w:hAnsi="Times New Roman" w:cs="Times New Roman"/>
          <w:color w:val="404040" w:themeColor="text1" w:themeTint="BF"/>
          <w:sz w:val="24"/>
          <w:szCs w:val="24"/>
        </w:rPr>
        <w:t>stment, FDI) alakulását mutatja</w:t>
      </w:r>
      <w:r w:rsidR="00DF2BC7" w:rsidRPr="004059FB">
        <w:rPr>
          <w:rFonts w:ascii="Times New Roman" w:hAnsi="Times New Roman" w:cs="Times New Roman"/>
          <w:color w:val="404040" w:themeColor="text1" w:themeTint="BF"/>
          <w:sz w:val="24"/>
          <w:szCs w:val="24"/>
        </w:rPr>
        <w:t>.</w:t>
      </w:r>
    </w:p>
    <w:p w:rsidR="00DF7215" w:rsidRPr="004059FB" w:rsidRDefault="002F3F6C" w:rsidP="002F3F6C">
      <w:pPr>
        <w:jc w:val="both"/>
        <w:rPr>
          <w:rFonts w:ascii="Times New Roman" w:hAnsi="Times New Roman" w:cs="Times New Roman"/>
          <w:color w:val="404040" w:themeColor="text1" w:themeTint="BF"/>
          <w:sz w:val="24"/>
          <w:szCs w:val="24"/>
        </w:rPr>
        <w:sectPr w:rsidR="00DF7215" w:rsidRPr="004059FB" w:rsidSect="00EF28D6">
          <w:type w:val="continuous"/>
          <w:pgSz w:w="11906" w:h="16838"/>
          <w:pgMar w:top="1134" w:right="1134" w:bottom="1276" w:left="1134" w:header="709" w:footer="709" w:gutter="0"/>
          <w:cols w:num="2" w:space="708"/>
        </w:sectPr>
      </w:pPr>
      <w:r w:rsidRPr="004059FB">
        <w:rPr>
          <w:rFonts w:ascii="Times New Roman" w:hAnsi="Times New Roman" w:cs="Times New Roman"/>
          <w:color w:val="404040" w:themeColor="text1" w:themeTint="BF"/>
          <w:sz w:val="24"/>
          <w:szCs w:val="24"/>
        </w:rPr>
        <w:t xml:space="preserve">A </w:t>
      </w:r>
      <w:r w:rsidRPr="004059FB">
        <w:rPr>
          <w:rFonts w:ascii="Times New Roman" w:hAnsi="Times New Roman" w:cs="Times New Roman"/>
          <w:i/>
          <w:color w:val="404040" w:themeColor="text1" w:themeTint="BF"/>
          <w:sz w:val="24"/>
          <w:szCs w:val="24"/>
        </w:rPr>
        <w:t>go global</w:t>
      </w:r>
      <w:r w:rsidRPr="004059FB">
        <w:rPr>
          <w:rFonts w:ascii="Times New Roman" w:hAnsi="Times New Roman" w:cs="Times New Roman"/>
          <w:color w:val="404040" w:themeColor="text1" w:themeTint="BF"/>
          <w:sz w:val="24"/>
          <w:szCs w:val="24"/>
        </w:rPr>
        <w:t xml:space="preserve"> politika hatására a kínai kiáramló FDI értéke 128 milliárd dollárra nőtt 2007-re.</w:t>
      </w:r>
      <w:r w:rsidRPr="004059FB">
        <w:rPr>
          <w:rStyle w:val="Lbjegyzet-hivatkozs"/>
          <w:rFonts w:ascii="Times New Roman" w:hAnsi="Times New Roman" w:cs="Times New Roman"/>
          <w:color w:val="404040" w:themeColor="text1" w:themeTint="BF"/>
          <w:sz w:val="24"/>
          <w:szCs w:val="24"/>
        </w:rPr>
        <w:footnoteReference w:id="3"/>
      </w:r>
      <w:r w:rsidRPr="004059FB">
        <w:rPr>
          <w:rFonts w:ascii="Times New Roman" w:hAnsi="Times New Roman" w:cs="Times New Roman"/>
          <w:color w:val="404040" w:themeColor="text1" w:themeTint="BF"/>
          <w:sz w:val="24"/>
          <w:szCs w:val="24"/>
        </w:rPr>
        <w:t xml:space="preserve"> Több mint 10 ezer kínai multinacionális vállalat több mint 170 országban vett részt határon túli befektetésekben, ezzel Kínát a legnagyobb „kifektetők” egyikévé téve.</w:t>
      </w:r>
      <w:r w:rsidRPr="004059FB">
        <w:rPr>
          <w:rStyle w:val="Lbjegyzet-hivatkozs"/>
          <w:rFonts w:ascii="Times New Roman" w:hAnsi="Times New Roman" w:cs="Times New Roman"/>
          <w:color w:val="404040" w:themeColor="text1" w:themeTint="BF"/>
          <w:sz w:val="24"/>
          <w:szCs w:val="24"/>
        </w:rPr>
        <w:footnoteReference w:id="4"/>
      </w:r>
      <w:r w:rsidRPr="004059FB">
        <w:rPr>
          <w:rFonts w:ascii="Times New Roman" w:hAnsi="Times New Roman" w:cs="Times New Roman"/>
          <w:color w:val="404040" w:themeColor="text1" w:themeTint="BF"/>
          <w:sz w:val="24"/>
          <w:szCs w:val="24"/>
        </w:rPr>
        <w:t xml:space="preserve"> 2012 óta, a szabályozás többszöri korrekcióját követően, nagy volumenű állami támogatásokkal fenntartva számos állami tulajdonú vállalat, magánkézben lévő telekommunikációs vállalkozás, elektronikai gyártó és beszállító, valamint építőipari vállalat folytat aktív „kivonulást”. A globális pénzügyi válságot követő években a kínai vállalatok már a világ minden sarkát megcélozták, ezzel pedig 2017-re a globális FDI 10 százalékát tették ki. Ez azt jelentette, hogy Kína a világ második legnagyobb befektetője lett az Egyesült Államok után.</w:t>
      </w:r>
    </w:p>
    <w:p w:rsidR="00DF7215" w:rsidRDefault="00DF7215" w:rsidP="002F3F6C">
      <w:pPr>
        <w:jc w:val="both"/>
        <w:rPr>
          <w:rFonts w:ascii="Times New Roman" w:hAnsi="Times New Roman" w:cs="Times New Roman"/>
          <w:sz w:val="24"/>
          <w:szCs w:val="24"/>
        </w:rPr>
        <w:sectPr w:rsidR="00DF7215" w:rsidSect="00EF28D6">
          <w:type w:val="continuous"/>
          <w:pgSz w:w="11906" w:h="16838"/>
          <w:pgMar w:top="1134" w:right="1134" w:bottom="1276" w:left="1134" w:header="709" w:footer="709" w:gutter="0"/>
          <w:cols w:num="2" w:space="708"/>
        </w:sectPr>
      </w:pPr>
    </w:p>
    <w:p w:rsidR="00DF7215" w:rsidRDefault="003B4B3F" w:rsidP="004600AA">
      <w:pPr>
        <w:jc w:val="center"/>
        <w:rPr>
          <w:rFonts w:ascii="Times New Roman" w:hAnsi="Times New Roman" w:cs="Times New Roman"/>
          <w:sz w:val="24"/>
          <w:szCs w:val="24"/>
        </w:rPr>
      </w:pPr>
      <w:r w:rsidRPr="001C5DD2">
        <w:rPr>
          <w:b/>
          <w:iCs/>
          <w:noProof/>
          <w:color w:val="008000"/>
          <w:sz w:val="20"/>
          <w:szCs w:val="20"/>
          <w:lang w:eastAsia="hu-HU"/>
        </w:rPr>
        <w:lastRenderedPageBreak/>
        <w:drawing>
          <wp:anchor distT="0" distB="0" distL="114300" distR="114300" simplePos="0" relativeHeight="251663360" behindDoc="0" locked="0" layoutInCell="1" allowOverlap="1">
            <wp:simplePos x="0" y="0"/>
            <wp:positionH relativeFrom="column">
              <wp:posOffset>1127760</wp:posOffset>
            </wp:positionH>
            <wp:positionV relativeFrom="paragraph">
              <wp:posOffset>599440</wp:posOffset>
            </wp:positionV>
            <wp:extent cx="3781425" cy="2105025"/>
            <wp:effectExtent l="19050" t="0" r="9525" b="0"/>
            <wp:wrapTopAndBottom/>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81425" cy="2105025"/>
                    </a:xfrm>
                    <a:prstGeom prst="rect">
                      <a:avLst/>
                    </a:prstGeom>
                    <a:noFill/>
                    <a:ln>
                      <a:noFill/>
                    </a:ln>
                  </pic:spPr>
                </pic:pic>
              </a:graphicData>
            </a:graphic>
          </wp:anchor>
        </w:drawing>
      </w:r>
      <w:r w:rsidR="001E6FEC" w:rsidRPr="001C5DD2">
        <w:rPr>
          <w:b/>
          <w:iCs/>
          <w:color w:val="008000"/>
          <w:sz w:val="20"/>
          <w:szCs w:val="20"/>
        </w:rPr>
        <w:fldChar w:fldCharType="begin"/>
      </w:r>
      <w:r w:rsidR="00DF7215" w:rsidRPr="001C5DD2">
        <w:rPr>
          <w:b/>
          <w:iCs/>
          <w:color w:val="008000"/>
          <w:sz w:val="20"/>
          <w:szCs w:val="20"/>
        </w:rPr>
        <w:instrText xml:space="preserve"> SEQ ábra \* ARABIC </w:instrText>
      </w:r>
      <w:r w:rsidR="001E6FEC" w:rsidRPr="001C5DD2">
        <w:rPr>
          <w:b/>
          <w:iCs/>
          <w:color w:val="008000"/>
          <w:sz w:val="20"/>
          <w:szCs w:val="20"/>
        </w:rPr>
        <w:fldChar w:fldCharType="separate"/>
      </w:r>
      <w:r w:rsidR="00DA5E9F">
        <w:rPr>
          <w:b/>
          <w:iCs/>
          <w:noProof/>
          <w:color w:val="008000"/>
          <w:sz w:val="20"/>
          <w:szCs w:val="20"/>
        </w:rPr>
        <w:t>1</w:t>
      </w:r>
      <w:r w:rsidR="001E6FEC" w:rsidRPr="001C5DD2">
        <w:rPr>
          <w:b/>
          <w:iCs/>
          <w:color w:val="008000"/>
          <w:sz w:val="20"/>
          <w:szCs w:val="20"/>
        </w:rPr>
        <w:fldChar w:fldCharType="end"/>
      </w:r>
      <w:r w:rsidR="00DF7215" w:rsidRPr="001C5DD2">
        <w:rPr>
          <w:b/>
          <w:iCs/>
          <w:color w:val="008000"/>
          <w:sz w:val="20"/>
          <w:szCs w:val="20"/>
        </w:rPr>
        <w:t>. ábra</w:t>
      </w:r>
      <w:r w:rsidR="00DF7215" w:rsidRPr="00403CF6">
        <w:rPr>
          <w:bCs/>
          <w:iCs/>
          <w:color w:val="008000"/>
          <w:sz w:val="20"/>
          <w:szCs w:val="20"/>
        </w:rPr>
        <w:t xml:space="preserve"> </w:t>
      </w:r>
      <w:r w:rsidR="00DF7215" w:rsidRPr="00403CF6">
        <w:rPr>
          <w:b/>
          <w:bCs/>
          <w:iCs/>
          <w:color w:val="008000"/>
          <w:sz w:val="20"/>
          <w:szCs w:val="20"/>
        </w:rPr>
        <w:t>Kína kiáramló külföldi működőtőke-befektetései és az</w:t>
      </w:r>
      <w:r w:rsidR="00DF7215" w:rsidRPr="00403CF6">
        <w:rPr>
          <w:bCs/>
          <w:iCs/>
          <w:color w:val="008000"/>
          <w:sz w:val="20"/>
          <w:szCs w:val="20"/>
        </w:rPr>
        <w:t xml:space="preserve"> </w:t>
      </w:r>
      <w:r w:rsidR="00DF7215" w:rsidRPr="00403CF6">
        <w:rPr>
          <w:b/>
          <w:bCs/>
          <w:iCs/>
          <w:color w:val="008000"/>
          <w:sz w:val="20"/>
          <w:szCs w:val="20"/>
        </w:rPr>
        <w:t>akvizíciók értéke (millió USD), 1982-2006</w:t>
      </w:r>
      <w:r w:rsidR="00DF7215">
        <w:rPr>
          <w:bCs/>
          <w:iCs/>
          <w:color w:val="008000"/>
          <w:sz w:val="20"/>
          <w:szCs w:val="20"/>
        </w:rPr>
        <w:t xml:space="preserve"> </w:t>
      </w:r>
    </w:p>
    <w:p w:rsidR="004600AA" w:rsidRDefault="004600AA" w:rsidP="004600AA">
      <w:pPr>
        <w:jc w:val="center"/>
      </w:pPr>
      <w:r w:rsidRPr="008C1C71">
        <w:rPr>
          <w:b/>
          <w:i/>
          <w:color w:val="404040" w:themeColor="text1" w:themeTint="BF"/>
          <w:sz w:val="16"/>
          <w:szCs w:val="16"/>
        </w:rPr>
        <w:t>Forrás: Nicolas és Thomsen, 2008</w:t>
      </w:r>
    </w:p>
    <w:p w:rsidR="00DF7215" w:rsidRDefault="00DF7215" w:rsidP="002F3F6C">
      <w:pPr>
        <w:jc w:val="both"/>
        <w:rPr>
          <w:rFonts w:ascii="Times New Roman" w:hAnsi="Times New Roman" w:cs="Times New Roman"/>
          <w:sz w:val="24"/>
          <w:szCs w:val="24"/>
        </w:rPr>
        <w:sectPr w:rsidR="00DF7215" w:rsidSect="00DF7215">
          <w:type w:val="continuous"/>
          <w:pgSz w:w="11906" w:h="16838"/>
          <w:pgMar w:top="1134" w:right="1134" w:bottom="1276" w:left="1134" w:header="709" w:footer="709" w:gutter="0"/>
          <w:cols w:space="708"/>
        </w:sectPr>
      </w:pPr>
    </w:p>
    <w:p w:rsidR="00DF7215" w:rsidRDefault="00DF7215" w:rsidP="002F3F6C">
      <w:pPr>
        <w:jc w:val="both"/>
        <w:rPr>
          <w:rFonts w:ascii="Times New Roman" w:hAnsi="Times New Roman" w:cs="Times New Roman"/>
          <w:sz w:val="24"/>
          <w:szCs w:val="24"/>
        </w:rPr>
      </w:pPr>
    </w:p>
    <w:p w:rsidR="00DF7215" w:rsidRDefault="00DF7215" w:rsidP="002F3F6C">
      <w:pPr>
        <w:jc w:val="both"/>
        <w:rPr>
          <w:rFonts w:ascii="Times New Roman" w:hAnsi="Times New Roman" w:cs="Times New Roman"/>
          <w:sz w:val="24"/>
          <w:szCs w:val="24"/>
        </w:rPr>
        <w:sectPr w:rsidR="00DF7215" w:rsidSect="00EF28D6">
          <w:type w:val="continuous"/>
          <w:pgSz w:w="11906" w:h="16838"/>
          <w:pgMar w:top="1134" w:right="1134" w:bottom="1276" w:left="1134" w:header="709" w:footer="709" w:gutter="0"/>
          <w:cols w:num="2" w:space="708"/>
        </w:sectPr>
      </w:pPr>
    </w:p>
    <w:p w:rsidR="002F3F6C" w:rsidRPr="004059FB" w:rsidRDefault="002F3F6C" w:rsidP="002F3F6C">
      <w:pPr>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A kínai multinacionális vállalatok jelentősége különösen Európában szembetűnő, mivel a magas jövedelmű gazdaságokat célzó kínai befektetők legnagyobb célállomásává vált. Ez egy évtizeddel ezelőtt manifesztálódott, amikor az éves tőkebeáramlás megháromszorozódott 2006 és 2009 között, majd 2011-ig újra, 10 milliárd dollárra.</w:t>
      </w:r>
      <w:r w:rsidRPr="004059FB">
        <w:rPr>
          <w:rStyle w:val="Lbjegyzet-hivatkozs"/>
          <w:rFonts w:ascii="Times New Roman" w:hAnsi="Times New Roman" w:cs="Times New Roman"/>
          <w:color w:val="404040" w:themeColor="text1" w:themeTint="BF"/>
          <w:sz w:val="24"/>
          <w:szCs w:val="24"/>
        </w:rPr>
        <w:footnoteReference w:id="5"/>
      </w:r>
      <w:r w:rsidRPr="004059FB">
        <w:rPr>
          <w:rFonts w:ascii="Times New Roman" w:hAnsi="Times New Roman" w:cs="Times New Roman"/>
          <w:color w:val="404040" w:themeColor="text1" w:themeTint="BF"/>
          <w:sz w:val="24"/>
          <w:szCs w:val="24"/>
        </w:rPr>
        <w:t xml:space="preserve"> 2014–2015-re az Európai Unió a kínai akvizíciók legnagyobb piaca lett. 2017-ben Európa a fejlett országokba induló kínai befektetések állományának 40 százalékét szívta fel.</w:t>
      </w:r>
      <w:r w:rsidRPr="004059FB">
        <w:rPr>
          <w:rStyle w:val="Lbjegyzet-hivatkozs"/>
          <w:rFonts w:ascii="Times New Roman" w:hAnsi="Times New Roman" w:cs="Times New Roman"/>
          <w:color w:val="404040" w:themeColor="text1" w:themeTint="BF"/>
          <w:sz w:val="24"/>
          <w:szCs w:val="24"/>
        </w:rPr>
        <w:footnoteReference w:id="6"/>
      </w:r>
      <w:r w:rsidRPr="004059FB">
        <w:rPr>
          <w:rFonts w:ascii="Times New Roman" w:hAnsi="Times New Roman" w:cs="Times New Roman"/>
          <w:color w:val="404040" w:themeColor="text1" w:themeTint="BF"/>
          <w:sz w:val="24"/>
          <w:szCs w:val="24"/>
        </w:rPr>
        <w:t xml:space="preserve"> A kínai befektetések földrajzi eloszlását vizsgáló tanulmányok szerint ezek fő célországai Európában Németország, az Egyesült Királyság és Franciaország.</w:t>
      </w:r>
      <w:r w:rsidRPr="004059FB">
        <w:rPr>
          <w:rStyle w:val="Lbjegyzet-hivatkozs"/>
          <w:rFonts w:ascii="Times New Roman" w:hAnsi="Times New Roman" w:cs="Times New Roman"/>
          <w:color w:val="404040" w:themeColor="text1" w:themeTint="BF"/>
          <w:sz w:val="24"/>
          <w:szCs w:val="24"/>
        </w:rPr>
        <w:footnoteReference w:id="7"/>
      </w:r>
      <w:r w:rsidRPr="004059FB">
        <w:rPr>
          <w:rFonts w:ascii="Times New Roman" w:hAnsi="Times New Roman" w:cs="Times New Roman"/>
          <w:color w:val="404040" w:themeColor="text1" w:themeTint="BF"/>
          <w:sz w:val="24"/>
          <w:szCs w:val="24"/>
        </w:rPr>
        <w:t xml:space="preserve"> Csak 2012-ben ez a három gazdaság közel 9 milliárd dollárt kapott Kínából, ami az EU-tagállamokba irányuló kínai FDI-állomány felét jelenti.</w:t>
      </w:r>
      <w:r w:rsidRPr="004059FB">
        <w:rPr>
          <w:rStyle w:val="Lbjegyzet-hivatkozs"/>
          <w:rFonts w:ascii="Times New Roman" w:hAnsi="Times New Roman" w:cs="Times New Roman"/>
          <w:color w:val="404040" w:themeColor="text1" w:themeTint="BF"/>
          <w:sz w:val="24"/>
          <w:szCs w:val="24"/>
        </w:rPr>
        <w:footnoteReference w:id="8"/>
      </w:r>
      <w:r w:rsidRPr="004059FB">
        <w:rPr>
          <w:rFonts w:ascii="Times New Roman" w:hAnsi="Times New Roman" w:cs="Times New Roman"/>
          <w:color w:val="404040" w:themeColor="text1" w:themeTint="BF"/>
          <w:sz w:val="24"/>
          <w:szCs w:val="24"/>
        </w:rPr>
        <w:t xml:space="preserve"> Ezek az országok, kiegészülve Hollandiával, Olaszországgal és Spanyolországgal a 2003 és </w:t>
      </w:r>
      <w:r w:rsidRPr="004059FB">
        <w:rPr>
          <w:rFonts w:ascii="Times New Roman" w:hAnsi="Times New Roman" w:cs="Times New Roman"/>
          <w:color w:val="404040" w:themeColor="text1" w:themeTint="BF"/>
          <w:sz w:val="24"/>
          <w:szCs w:val="24"/>
        </w:rPr>
        <w:t>2014 közötti kínai EU-s befektetések 76 százalékát fogadták. Ebben az időszakban az összes ország közül Németország bizonyult messze a legfontosabb kínai célországnak, az összes befektetés 37 százalékával.</w:t>
      </w:r>
      <w:r w:rsidRPr="004059FB">
        <w:rPr>
          <w:rStyle w:val="Lbjegyzet-hivatkozs"/>
          <w:rFonts w:ascii="Times New Roman" w:hAnsi="Times New Roman" w:cs="Times New Roman"/>
          <w:color w:val="404040" w:themeColor="text1" w:themeTint="BF"/>
          <w:sz w:val="24"/>
          <w:szCs w:val="24"/>
        </w:rPr>
        <w:footnoteReference w:id="9"/>
      </w:r>
      <w:r w:rsidRPr="004059FB">
        <w:rPr>
          <w:rFonts w:ascii="Times New Roman" w:hAnsi="Times New Roman" w:cs="Times New Roman"/>
          <w:color w:val="404040" w:themeColor="text1" w:themeTint="BF"/>
          <w:sz w:val="24"/>
          <w:szCs w:val="24"/>
        </w:rPr>
        <w:t xml:space="preserve"> A kínai tőkeállomány az EU 5 legnagyobb gazdaságában (Németország, Egyesült Királyság, Franciaország, Olaszország, Spanyolország) 92,3 milliárd eurót tett ki 2017-ben.</w:t>
      </w:r>
      <w:r w:rsidRPr="004059FB">
        <w:rPr>
          <w:rStyle w:val="Lbjegyzet-hivatkozs"/>
          <w:rFonts w:ascii="Times New Roman" w:hAnsi="Times New Roman" w:cs="Times New Roman"/>
          <w:color w:val="404040" w:themeColor="text1" w:themeTint="BF"/>
          <w:sz w:val="24"/>
          <w:szCs w:val="24"/>
        </w:rPr>
        <w:footnoteReference w:id="10"/>
      </w:r>
    </w:p>
    <w:p w:rsidR="002F3F6C" w:rsidRPr="004059FB" w:rsidRDefault="002F3F6C" w:rsidP="002F3F6C">
      <w:pPr>
        <w:autoSpaceDE w:val="0"/>
        <w:autoSpaceDN w:val="0"/>
        <w:adjustRightInd w:val="0"/>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Az európai országokba irányuló kínai befektetések a gazdasági szektorok széles körét lefedik: vegyipar, energia, bányászat, informatika, autóipar, pénzügy és építőipar. A kínai befektetések legnagyobb hányada az ipari termelésen belül a vegyiparban, a szolgáltatószektoron belül pedig az infokommunikációs üzletágban hasznosul Európában.</w:t>
      </w:r>
      <w:r w:rsidRPr="004059FB">
        <w:rPr>
          <w:rStyle w:val="Lbjegyzet-hivatkozs"/>
          <w:rFonts w:ascii="Times New Roman" w:hAnsi="Times New Roman" w:cs="Times New Roman"/>
          <w:color w:val="404040" w:themeColor="text1" w:themeTint="BF"/>
          <w:sz w:val="24"/>
          <w:szCs w:val="24"/>
        </w:rPr>
        <w:footnoteReference w:id="11"/>
      </w:r>
      <w:r w:rsidRPr="004059FB">
        <w:rPr>
          <w:rFonts w:ascii="Times New Roman" w:hAnsi="Times New Roman" w:cs="Times New Roman"/>
          <w:color w:val="404040" w:themeColor="text1" w:themeTint="BF"/>
          <w:sz w:val="24"/>
          <w:szCs w:val="24"/>
        </w:rPr>
        <w:t xml:space="preserve"> </w:t>
      </w:r>
    </w:p>
    <w:p w:rsidR="002F3F6C" w:rsidRPr="006C4BDF" w:rsidRDefault="002F3F6C" w:rsidP="006C4BDF">
      <w:pPr>
        <w:spacing w:line="240" w:lineRule="auto"/>
        <w:jc w:val="both"/>
        <w:rPr>
          <w:rFonts w:eastAsia="Times New Roman" w:cs="Arial"/>
          <w:b/>
          <w:bCs/>
          <w:iCs/>
          <w:color w:val="008000"/>
          <w:sz w:val="24"/>
          <w:szCs w:val="24"/>
          <w:lang w:eastAsia="hu-HU"/>
        </w:rPr>
      </w:pPr>
      <w:bookmarkStart w:id="1" w:name="_Toc521878185"/>
      <w:r w:rsidRPr="006C4BDF">
        <w:rPr>
          <w:rFonts w:eastAsia="Times New Roman" w:cs="Arial"/>
          <w:b/>
          <w:bCs/>
          <w:iCs/>
          <w:color w:val="008000"/>
          <w:sz w:val="24"/>
          <w:szCs w:val="24"/>
          <w:lang w:eastAsia="hu-HU"/>
        </w:rPr>
        <w:lastRenderedPageBreak/>
        <w:t>A kínai befektetések tulajdonosi mintázatai Európában</w:t>
      </w:r>
      <w:bookmarkEnd w:id="1"/>
    </w:p>
    <w:p w:rsidR="002F3F6C" w:rsidRPr="004059FB" w:rsidRDefault="002F3F6C" w:rsidP="002F3F6C">
      <w:pPr>
        <w:autoSpaceDE w:val="0"/>
        <w:autoSpaceDN w:val="0"/>
        <w:adjustRightInd w:val="0"/>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A tulajdonosi struktúrát tekintve a Kína európai befektetéseit az állami tulajdonú vállalatok dominálják: a teljes befektetett összeg 78 százalékát ezek a vállalkozások vitték 2008 és 2013 között.</w:t>
      </w:r>
      <w:r w:rsidRPr="004059FB">
        <w:rPr>
          <w:rStyle w:val="Lbjegyzet-hivatkozs"/>
          <w:rFonts w:ascii="Times New Roman" w:hAnsi="Times New Roman" w:cs="Times New Roman"/>
          <w:color w:val="404040" w:themeColor="text1" w:themeTint="BF"/>
          <w:sz w:val="24"/>
          <w:szCs w:val="24"/>
        </w:rPr>
        <w:footnoteReference w:id="12"/>
      </w:r>
      <w:r w:rsidRPr="004059FB">
        <w:rPr>
          <w:rFonts w:ascii="Times New Roman" w:hAnsi="Times New Roman" w:cs="Times New Roman"/>
          <w:color w:val="404040" w:themeColor="text1" w:themeTint="BF"/>
          <w:sz w:val="24"/>
          <w:szCs w:val="24"/>
        </w:rPr>
        <w:t xml:space="preserve"> 2008 és 2018 között a 670 darab, Európában befektető kínai multinacionális vállalat közül 100 bizonyult állami hátterű vállalkozásnak vagy befektetési alapnak, amelyek összesen legalább 163 milliárd dollár értékben folytattak tranzakciókat, ami az ide irányuló üzletkötések értékének 63 százalékát jelentette.</w:t>
      </w:r>
      <w:r w:rsidRPr="004059FB">
        <w:rPr>
          <w:rStyle w:val="Lbjegyzet-hivatkozs"/>
          <w:rFonts w:ascii="Times New Roman" w:hAnsi="Times New Roman" w:cs="Times New Roman"/>
          <w:color w:val="404040" w:themeColor="text1" w:themeTint="BF"/>
          <w:sz w:val="24"/>
          <w:szCs w:val="24"/>
        </w:rPr>
        <w:footnoteReference w:id="13"/>
      </w:r>
      <w:r w:rsidRPr="004059FB">
        <w:rPr>
          <w:rFonts w:ascii="Times New Roman" w:hAnsi="Times New Roman" w:cs="Times New Roman"/>
          <w:color w:val="404040" w:themeColor="text1" w:themeTint="BF"/>
          <w:sz w:val="24"/>
          <w:szCs w:val="24"/>
        </w:rPr>
        <w:t xml:space="preserve"> A 10 legnagyobb felvásárló közül 8 (lásd 1. táblázat) azonosítható állami tulajdonúként vagy hátterűként, beleértve a Selyemút Alapot (Silk Road Fund Co.), a kínai „Egy Övezet, Egy Út” kezdeményezéshez kapcsolódó szuverén vagyonalapot.</w:t>
      </w:r>
      <w:r w:rsidR="001C5DD2" w:rsidRPr="004059FB">
        <w:rPr>
          <w:rFonts w:ascii="Times New Roman" w:hAnsi="Times New Roman" w:cs="Times New Roman"/>
          <w:color w:val="404040" w:themeColor="text1" w:themeTint="BF"/>
          <w:sz w:val="24"/>
          <w:szCs w:val="24"/>
        </w:rPr>
        <w:t xml:space="preserve"> </w:t>
      </w:r>
    </w:p>
    <w:p w:rsidR="00ED7492" w:rsidRPr="004059FB" w:rsidRDefault="001C5DD2" w:rsidP="00ED7492">
      <w:pPr>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Bár az utóbbi időben nőtt a kínai magánvállalkozások száma Európában, és ennek hatására az általuk kötött ügyletek aránya 2015. évi 30 százalékos értékéről 74 százalékra nőtt 2016-ra, a befektetések teljes értékén belül ezen vállalkozások súlya továbbra is messze elmarad az állami tulajdonú vállalatokétól.</w:t>
      </w:r>
      <w:r w:rsidRPr="004059FB">
        <w:rPr>
          <w:rStyle w:val="Lbjegyzet-hivatkozs"/>
          <w:rFonts w:ascii="Times New Roman" w:hAnsi="Times New Roman" w:cs="Times New Roman"/>
          <w:color w:val="404040" w:themeColor="text1" w:themeTint="BF"/>
          <w:sz w:val="24"/>
          <w:szCs w:val="24"/>
        </w:rPr>
        <w:footnoteReference w:id="14"/>
      </w:r>
    </w:p>
    <w:p w:rsidR="00ED7492" w:rsidRPr="004059FB" w:rsidRDefault="00ED7492" w:rsidP="00ED7492">
      <w:pPr>
        <w:jc w:val="both"/>
        <w:rPr>
          <w:rFonts w:ascii="Times New Roman" w:hAnsi="Times New Roman" w:cs="Times New Roman"/>
          <w:color w:val="404040" w:themeColor="text1" w:themeTint="BF"/>
          <w:sz w:val="24"/>
          <w:szCs w:val="24"/>
        </w:rPr>
      </w:pPr>
    </w:p>
    <w:p w:rsidR="00ED7492" w:rsidRDefault="00ED7492" w:rsidP="00ED7492">
      <w:pPr>
        <w:jc w:val="both"/>
        <w:rPr>
          <w:rFonts w:ascii="Times New Roman" w:hAnsi="Times New Roman" w:cs="Times New Roman"/>
          <w:sz w:val="24"/>
          <w:szCs w:val="24"/>
        </w:rPr>
      </w:pPr>
    </w:p>
    <w:p w:rsidR="00ED7492" w:rsidRDefault="00ED7492" w:rsidP="00ED7492">
      <w:pPr>
        <w:jc w:val="both"/>
        <w:rPr>
          <w:rFonts w:ascii="Times New Roman" w:hAnsi="Times New Roman" w:cs="Times New Roman"/>
          <w:sz w:val="24"/>
          <w:szCs w:val="24"/>
        </w:rPr>
      </w:pPr>
    </w:p>
    <w:p w:rsidR="00ED7492" w:rsidRDefault="00ED7492" w:rsidP="00ED7492">
      <w:pPr>
        <w:jc w:val="both"/>
        <w:rPr>
          <w:rFonts w:ascii="Times New Roman" w:hAnsi="Times New Roman" w:cs="Times New Roman"/>
          <w:sz w:val="24"/>
          <w:szCs w:val="24"/>
        </w:rPr>
      </w:pPr>
    </w:p>
    <w:p w:rsidR="00ED7492" w:rsidRPr="00F05BEB" w:rsidRDefault="00ED7492" w:rsidP="00ED7492">
      <w:pPr>
        <w:jc w:val="both"/>
        <w:rPr>
          <w:rFonts w:ascii="Times New Roman" w:hAnsi="Times New Roman" w:cs="Times New Roman"/>
          <w:sz w:val="24"/>
          <w:szCs w:val="24"/>
        </w:rPr>
      </w:pPr>
    </w:p>
    <w:p w:rsidR="002F3F6C" w:rsidRPr="006F5F5C" w:rsidRDefault="002F3F6C" w:rsidP="00D31591">
      <w:pPr>
        <w:pStyle w:val="Cmsor2"/>
        <w:spacing w:before="0" w:line="240" w:lineRule="auto"/>
        <w:jc w:val="center"/>
        <w:rPr>
          <w:rFonts w:ascii="Palatino Linotype" w:eastAsiaTheme="minorHAnsi" w:hAnsi="Palatino Linotype" w:cstheme="minorBidi"/>
          <w:bCs w:val="0"/>
          <w:iCs/>
          <w:color w:val="008000"/>
          <w:sz w:val="20"/>
          <w:szCs w:val="20"/>
        </w:rPr>
      </w:pPr>
      <w:bookmarkStart w:id="2" w:name="_Toc521875736"/>
      <w:bookmarkStart w:id="3" w:name="_Toc521878186"/>
      <w:r w:rsidRPr="006F5F5C">
        <w:rPr>
          <w:rFonts w:ascii="Palatino Linotype" w:eastAsiaTheme="minorHAnsi" w:hAnsi="Palatino Linotype" w:cstheme="minorBidi"/>
          <w:bCs w:val="0"/>
          <w:iCs/>
          <w:color w:val="008000"/>
          <w:sz w:val="20"/>
          <w:szCs w:val="20"/>
        </w:rPr>
        <w:t>1. táblázat: A tíz legnagyobb Európába befektető kínai vállalkozás (2008-2018)</w:t>
      </w:r>
      <w:bookmarkEnd w:id="2"/>
      <w:bookmarkEnd w:id="3"/>
    </w:p>
    <w:tbl>
      <w:tblPr>
        <w:tblStyle w:val="Rcsostblzat"/>
        <w:tblW w:w="0" w:type="auto"/>
        <w:jc w:val="center"/>
        <w:tblLook w:val="04A0" w:firstRow="1" w:lastRow="0" w:firstColumn="1" w:lastColumn="0" w:noHBand="0" w:noVBand="1"/>
      </w:tblPr>
      <w:tblGrid>
        <w:gridCol w:w="1096"/>
        <w:gridCol w:w="2556"/>
        <w:gridCol w:w="803"/>
      </w:tblGrid>
      <w:tr w:rsidR="004059FB" w:rsidRPr="004059FB" w:rsidTr="006F5F5C">
        <w:trPr>
          <w:jc w:val="center"/>
        </w:trPr>
        <w:tc>
          <w:tcPr>
            <w:tcW w:w="1096" w:type="dxa"/>
          </w:tcPr>
          <w:p w:rsidR="002F3F6C" w:rsidRPr="004059FB" w:rsidRDefault="002F3F6C" w:rsidP="00D31591">
            <w:pPr>
              <w:autoSpaceDE w:val="0"/>
              <w:autoSpaceDN w:val="0"/>
              <w:adjustRightInd w:val="0"/>
              <w:spacing w:line="276" w:lineRule="auto"/>
              <w:jc w:val="both"/>
              <w:rPr>
                <w:rFonts w:ascii="Times New Roman" w:hAnsi="Times New Roman" w:cs="Times New Roman"/>
                <w:b/>
                <w:color w:val="404040" w:themeColor="text1" w:themeTint="BF"/>
                <w:sz w:val="24"/>
                <w:szCs w:val="24"/>
              </w:rPr>
            </w:pPr>
            <w:r w:rsidRPr="004059FB">
              <w:rPr>
                <w:rFonts w:ascii="Times New Roman" w:hAnsi="Times New Roman" w:cs="Times New Roman"/>
                <w:b/>
                <w:color w:val="404040" w:themeColor="text1" w:themeTint="BF"/>
                <w:sz w:val="24"/>
                <w:szCs w:val="24"/>
              </w:rPr>
              <w:t>Sorszám</w:t>
            </w:r>
          </w:p>
        </w:tc>
        <w:tc>
          <w:tcPr>
            <w:tcW w:w="2782" w:type="dxa"/>
          </w:tcPr>
          <w:p w:rsidR="002F3F6C" w:rsidRPr="004059FB" w:rsidRDefault="002F3F6C" w:rsidP="00D31591">
            <w:pPr>
              <w:autoSpaceDE w:val="0"/>
              <w:autoSpaceDN w:val="0"/>
              <w:adjustRightInd w:val="0"/>
              <w:spacing w:line="276" w:lineRule="auto"/>
              <w:jc w:val="both"/>
              <w:rPr>
                <w:rFonts w:ascii="Times New Roman" w:hAnsi="Times New Roman" w:cs="Times New Roman"/>
                <w:b/>
                <w:color w:val="404040" w:themeColor="text1" w:themeTint="BF"/>
                <w:sz w:val="24"/>
                <w:szCs w:val="24"/>
              </w:rPr>
            </w:pPr>
            <w:r w:rsidRPr="004059FB">
              <w:rPr>
                <w:rFonts w:ascii="Times New Roman" w:hAnsi="Times New Roman" w:cs="Times New Roman"/>
                <w:b/>
                <w:color w:val="404040" w:themeColor="text1" w:themeTint="BF"/>
                <w:sz w:val="24"/>
                <w:szCs w:val="24"/>
              </w:rPr>
              <w:t xml:space="preserve">Vállalkozás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b/>
                <w:color w:val="404040" w:themeColor="text1" w:themeTint="BF"/>
                <w:sz w:val="24"/>
                <w:szCs w:val="24"/>
              </w:rPr>
            </w:pPr>
            <w:r w:rsidRPr="004059FB">
              <w:rPr>
                <w:rFonts w:ascii="Times New Roman" w:hAnsi="Times New Roman" w:cs="Times New Roman"/>
                <w:b/>
                <w:color w:val="404040" w:themeColor="text1" w:themeTint="BF"/>
                <w:sz w:val="24"/>
                <w:szCs w:val="24"/>
              </w:rPr>
              <w:t>Érték (Mrd USD)</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China National Chemical Corp.</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58,2</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China Investment Corp.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24,2</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Aluminum Corp. of China Ltd.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14,1</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Avic Capital Co.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11,6</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Silk Road Fund Co.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10,5</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Tencent Holdings Ltd.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9,9</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China Petrochemical Corp.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8,8</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China Cinda Asset Management Co.</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8,6</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Shanghai Pudong Dev. Bank Co. </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8,6</w:t>
            </w:r>
          </w:p>
        </w:tc>
      </w:tr>
      <w:tr w:rsidR="004059FB" w:rsidRPr="004059FB" w:rsidTr="006F5F5C">
        <w:trPr>
          <w:jc w:val="center"/>
        </w:trPr>
        <w:tc>
          <w:tcPr>
            <w:tcW w:w="1096" w:type="dxa"/>
          </w:tcPr>
          <w:p w:rsidR="002F3F6C" w:rsidRPr="004059FB" w:rsidRDefault="002F3F6C" w:rsidP="002F3F6C">
            <w:pPr>
              <w:pStyle w:val="Listaszerbekezds"/>
              <w:numPr>
                <w:ilvl w:val="0"/>
                <w:numId w:val="44"/>
              </w:numPr>
              <w:autoSpaceDE w:val="0"/>
              <w:autoSpaceDN w:val="0"/>
              <w:adjustRightInd w:val="0"/>
              <w:spacing w:line="276" w:lineRule="auto"/>
              <w:jc w:val="both"/>
              <w:rPr>
                <w:rFonts w:ascii="Times New Roman" w:hAnsi="Times New Roman" w:cs="Times New Roman"/>
                <w:color w:val="404040" w:themeColor="text1" w:themeTint="BF"/>
                <w:sz w:val="24"/>
                <w:szCs w:val="24"/>
              </w:rPr>
            </w:pPr>
          </w:p>
        </w:tc>
        <w:tc>
          <w:tcPr>
            <w:tcW w:w="2782" w:type="dxa"/>
          </w:tcPr>
          <w:p w:rsidR="002F3F6C" w:rsidRPr="004059FB" w:rsidRDefault="002F3F6C" w:rsidP="006F5F5C">
            <w:pPr>
              <w:autoSpaceDE w:val="0"/>
              <w:autoSpaceDN w:val="0"/>
              <w:adjustRightInd w:val="0"/>
              <w:spacing w:line="276" w:lineRule="auto"/>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China CITIC Bank Corp.</w:t>
            </w:r>
          </w:p>
        </w:tc>
        <w:tc>
          <w:tcPr>
            <w:tcW w:w="803" w:type="dxa"/>
          </w:tcPr>
          <w:p w:rsidR="002F3F6C" w:rsidRPr="004059FB" w:rsidRDefault="002F3F6C" w:rsidP="00D31591">
            <w:pPr>
              <w:autoSpaceDE w:val="0"/>
              <w:autoSpaceDN w:val="0"/>
              <w:adjustRightInd w:val="0"/>
              <w:spacing w:line="276" w:lineRule="auto"/>
              <w:jc w:val="center"/>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8,6</w:t>
            </w:r>
          </w:p>
        </w:tc>
      </w:tr>
    </w:tbl>
    <w:p w:rsidR="002F3F6C" w:rsidRDefault="002F3F6C" w:rsidP="008C1C71">
      <w:pPr>
        <w:spacing w:after="0" w:line="240" w:lineRule="auto"/>
        <w:jc w:val="both"/>
        <w:rPr>
          <w:b/>
          <w:i/>
          <w:color w:val="404040" w:themeColor="text1" w:themeTint="BF"/>
          <w:sz w:val="16"/>
          <w:szCs w:val="16"/>
        </w:rPr>
      </w:pPr>
      <w:r w:rsidRPr="008C1C71">
        <w:rPr>
          <w:b/>
          <w:i/>
          <w:color w:val="404040" w:themeColor="text1" w:themeTint="BF"/>
          <w:sz w:val="16"/>
          <w:szCs w:val="16"/>
        </w:rPr>
        <w:t>Forrás: Tartar, Rojanasakul és Diamond, 2018 alapján.</w:t>
      </w:r>
    </w:p>
    <w:p w:rsidR="008C1C71" w:rsidRPr="008C1C71" w:rsidRDefault="008C1C71" w:rsidP="008C1C71">
      <w:pPr>
        <w:spacing w:after="0" w:line="240" w:lineRule="auto"/>
        <w:jc w:val="both"/>
        <w:rPr>
          <w:b/>
          <w:i/>
          <w:color w:val="404040" w:themeColor="text1" w:themeTint="BF"/>
          <w:sz w:val="16"/>
          <w:szCs w:val="16"/>
        </w:rPr>
      </w:pPr>
    </w:p>
    <w:p w:rsidR="002F3F6C" w:rsidRPr="006C4BDF" w:rsidRDefault="002F3F6C" w:rsidP="002F3F6C">
      <w:pPr>
        <w:rPr>
          <w:rFonts w:eastAsia="Times New Roman" w:cs="Arial"/>
          <w:b/>
          <w:bCs/>
          <w:iCs/>
          <w:color w:val="008000"/>
          <w:sz w:val="24"/>
          <w:szCs w:val="24"/>
          <w:lang w:eastAsia="hu-HU"/>
        </w:rPr>
      </w:pPr>
      <w:r w:rsidRPr="006C4BDF">
        <w:rPr>
          <w:rFonts w:eastAsia="Times New Roman" w:cs="Arial"/>
          <w:b/>
          <w:bCs/>
          <w:iCs/>
          <w:color w:val="008000"/>
          <w:sz w:val="24"/>
          <w:szCs w:val="24"/>
          <w:lang w:eastAsia="hu-HU"/>
        </w:rPr>
        <w:t>A kínai multinacionális vállalatok európai befektetéseinek motivációi és mozgatórugói</w:t>
      </w:r>
    </w:p>
    <w:p w:rsidR="002F3F6C" w:rsidRPr="004059FB" w:rsidRDefault="002F3F6C" w:rsidP="002F3F6C">
      <w:pPr>
        <w:autoSpaceDE w:val="0"/>
        <w:autoSpaceDN w:val="0"/>
        <w:adjustRightInd w:val="0"/>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A kínai működőtőke-befektetéseket Európában elsősorban a kereskedelmi motivációk mozgatják, az európai piacokban rejlő lehetőségek felmérése révén. A megcélzott ágazatok, a befektető vállalkozások nagy száma és azok kompetitív viselkedése mind abba az irányba mutat, hogy a profit a legfontosabb motiváció Kína „kifektetéseiben”.</w:t>
      </w:r>
      <w:r w:rsidRPr="004059FB">
        <w:rPr>
          <w:rStyle w:val="Lbjegyzet-hivatkozs"/>
          <w:rFonts w:ascii="Times New Roman" w:hAnsi="Times New Roman" w:cs="Times New Roman"/>
          <w:color w:val="404040" w:themeColor="text1" w:themeTint="BF"/>
          <w:sz w:val="24"/>
          <w:szCs w:val="24"/>
        </w:rPr>
        <w:footnoteReference w:id="15"/>
      </w:r>
      <w:r w:rsidRPr="004059FB">
        <w:rPr>
          <w:rFonts w:ascii="Times New Roman" w:hAnsi="Times New Roman" w:cs="Times New Roman"/>
          <w:color w:val="404040" w:themeColor="text1" w:themeTint="BF"/>
          <w:sz w:val="24"/>
          <w:szCs w:val="24"/>
        </w:rPr>
        <w:t xml:space="preserve"> Nicolas és Thomsen (2008) rámutatott, hogy sok kínai vállalat európai befektetését a globális versenyképességük fenntartása ösztönözte a lokálisan elérhető előnyök kihasználása </w:t>
      </w:r>
      <w:r w:rsidRPr="004059FB">
        <w:rPr>
          <w:rFonts w:ascii="Times New Roman" w:hAnsi="Times New Roman" w:cs="Times New Roman"/>
          <w:color w:val="404040" w:themeColor="text1" w:themeTint="BF"/>
          <w:sz w:val="24"/>
          <w:szCs w:val="24"/>
        </w:rPr>
        <w:lastRenderedPageBreak/>
        <w:t>helyett. Blomkvist és Drogendijk empirikus kutatása kiderítette, hogy a kínaiak európai befektetésének fő oka a “piacvadászat” és a stratégiai eszközök felkutatása.</w:t>
      </w:r>
      <w:r w:rsidRPr="004059FB">
        <w:rPr>
          <w:rStyle w:val="Lbjegyzet-hivatkozs"/>
          <w:rFonts w:ascii="Times New Roman" w:hAnsi="Times New Roman" w:cs="Times New Roman"/>
          <w:color w:val="404040" w:themeColor="text1" w:themeTint="BF"/>
          <w:sz w:val="24"/>
          <w:szCs w:val="24"/>
        </w:rPr>
        <w:footnoteReference w:id="16"/>
      </w:r>
      <w:r w:rsidRPr="004059FB">
        <w:rPr>
          <w:rFonts w:ascii="Times New Roman" w:hAnsi="Times New Roman" w:cs="Times New Roman"/>
          <w:color w:val="404040" w:themeColor="text1" w:themeTint="BF"/>
          <w:sz w:val="24"/>
          <w:szCs w:val="24"/>
        </w:rPr>
        <w:t xml:space="preserve"> Ehhez hasonlóan más tanulmányok azt találták, hogy a fejlett technológiához, a márkaépítéshez, a menedzsmentkészségekhez, a forgalmazási csatornákhoz való közvetlen hozzáférés és olcsó eszközvásárlások iránti vágy vonzotta a kínai multinacionális vállalatokat Európába, különösen a 2008-as pénzügyi válság után. Sok kínai vállalat számára az ismert brandek és technológiai </w:t>
      </w:r>
      <w:r w:rsidR="00EC3917" w:rsidRPr="004059FB">
        <w:rPr>
          <w:rFonts w:ascii="Times New Roman" w:hAnsi="Times New Roman" w:cs="Times New Roman"/>
          <w:color w:val="404040" w:themeColor="text1" w:themeTint="BF"/>
          <w:sz w:val="24"/>
          <w:szCs w:val="24"/>
        </w:rPr>
        <w:t>szakértelem</w:t>
      </w:r>
      <w:r w:rsidRPr="004059FB">
        <w:rPr>
          <w:rFonts w:ascii="Times New Roman" w:hAnsi="Times New Roman" w:cs="Times New Roman"/>
          <w:color w:val="404040" w:themeColor="text1" w:themeTint="BF"/>
          <w:sz w:val="24"/>
          <w:szCs w:val="24"/>
        </w:rPr>
        <w:t xml:space="preserve"> („know-how”) felvásárlása jelenti az otthoni versenyből való kitörés alapját.</w:t>
      </w:r>
      <w:r w:rsidRPr="004059FB">
        <w:rPr>
          <w:rStyle w:val="Lbjegyzet-hivatkozs"/>
          <w:rFonts w:ascii="Times New Roman" w:hAnsi="Times New Roman" w:cs="Times New Roman"/>
          <w:color w:val="404040" w:themeColor="text1" w:themeTint="BF"/>
          <w:sz w:val="24"/>
          <w:szCs w:val="24"/>
        </w:rPr>
        <w:footnoteReference w:id="17"/>
      </w:r>
      <w:r w:rsidRPr="004059FB">
        <w:rPr>
          <w:rFonts w:ascii="Times New Roman" w:hAnsi="Times New Roman" w:cs="Times New Roman"/>
          <w:color w:val="404040" w:themeColor="text1" w:themeTint="BF"/>
          <w:sz w:val="24"/>
          <w:szCs w:val="24"/>
        </w:rPr>
        <w:t xml:space="preserve"> Számos európai országban pedig a fejlett technológiához és a már felépített márkákhoz való hozzáférés segített magasabb pozícióba kerülni a globális értékláncban és kompetitívebbé válni a kínai vállalkozásoknak.</w:t>
      </w:r>
    </w:p>
    <w:p w:rsidR="002F3F6C" w:rsidRPr="004059FB" w:rsidRDefault="002F3F6C" w:rsidP="002F3F6C">
      <w:pPr>
        <w:autoSpaceDE w:val="0"/>
        <w:autoSpaceDN w:val="0"/>
        <w:adjustRightInd w:val="0"/>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Egyes kutatók ezzel szemben azt állítják, hogy a kínai üzleti élet nemzetköziesítésének fő mozgatórugója politikai jellegű volt, hiszen a kínai kormány már hosszabb ideje befolyást gyakorol a vállalatok befektetési stratégiáira, számos tényező, például a fejlettségi szint, a gazdasági kilátások és az európai célországok érdekeinek figyelembe vételével. Ezáltal, az állam különböző módokon befolyásolta a kínai vállalatok tengerentúli befektetéseit, ideértve a hitelek kihelyezését, a belföldi piaci verseny szabályozását vagy a vállalati eszközök tulajdonlását.</w:t>
      </w:r>
      <w:r w:rsidRPr="004059FB">
        <w:rPr>
          <w:rStyle w:val="Lbjegyzet-hivatkozs"/>
          <w:rFonts w:ascii="Times New Roman" w:hAnsi="Times New Roman" w:cs="Times New Roman"/>
          <w:color w:val="404040" w:themeColor="text1" w:themeTint="BF"/>
          <w:sz w:val="24"/>
          <w:szCs w:val="24"/>
        </w:rPr>
        <w:footnoteReference w:id="18"/>
      </w:r>
      <w:r w:rsidRPr="004059FB">
        <w:rPr>
          <w:rFonts w:ascii="Times New Roman" w:hAnsi="Times New Roman" w:cs="Times New Roman"/>
          <w:color w:val="404040" w:themeColor="text1" w:themeTint="BF"/>
          <w:sz w:val="24"/>
          <w:szCs w:val="24"/>
        </w:rPr>
        <w:t xml:space="preserve"> A kínai kormány a </w:t>
      </w:r>
      <w:r w:rsidRPr="004059FB">
        <w:rPr>
          <w:rFonts w:ascii="Times New Roman" w:hAnsi="Times New Roman" w:cs="Times New Roman"/>
          <w:i/>
          <w:color w:val="404040" w:themeColor="text1" w:themeTint="BF"/>
          <w:sz w:val="24"/>
          <w:szCs w:val="24"/>
        </w:rPr>
        <w:t>Made in China 2025</w:t>
      </w:r>
      <w:r w:rsidRPr="004059FB">
        <w:rPr>
          <w:rFonts w:ascii="Times New Roman" w:hAnsi="Times New Roman" w:cs="Times New Roman"/>
          <w:color w:val="404040" w:themeColor="text1" w:themeTint="BF"/>
          <w:sz w:val="24"/>
          <w:szCs w:val="24"/>
        </w:rPr>
        <w:t xml:space="preserve"> stratégia keretében a kulcsfontosságú technológiák világszintű vezető szerepének elérésére törekszik 2049-ig, a népköztársaság születésének századik évfordulójára. Tekintettel arra, hogy újabban </w:t>
      </w:r>
      <w:r w:rsidRPr="004059FB">
        <w:rPr>
          <w:rFonts w:ascii="Times New Roman" w:hAnsi="Times New Roman" w:cs="Times New Roman"/>
          <w:color w:val="404040" w:themeColor="text1" w:themeTint="BF"/>
          <w:sz w:val="24"/>
          <w:szCs w:val="24"/>
        </w:rPr>
        <w:t>Kína tőkét juttat a határain túlra, néhányan azt is felvetik, hogy akár az ország geopolitikai szándékai is magyarázzák a tengerentúli befektetéseket, és inkább Kína szélesebb nemzetközi politikai</w:t>
      </w:r>
      <w:r w:rsidR="00EC3917" w:rsidRPr="004059FB">
        <w:rPr>
          <w:rFonts w:ascii="Times New Roman" w:hAnsi="Times New Roman" w:cs="Times New Roman"/>
          <w:color w:val="404040" w:themeColor="text1" w:themeTint="BF"/>
          <w:sz w:val="24"/>
          <w:szCs w:val="24"/>
        </w:rPr>
        <w:t xml:space="preserve"> -</w:t>
      </w:r>
      <w:r w:rsidRPr="004059FB">
        <w:rPr>
          <w:rFonts w:ascii="Times New Roman" w:hAnsi="Times New Roman" w:cs="Times New Roman"/>
          <w:color w:val="404040" w:themeColor="text1" w:themeTint="BF"/>
          <w:sz w:val="24"/>
          <w:szCs w:val="24"/>
        </w:rPr>
        <w:t xml:space="preserve"> mintsem egy pusztán gazdasági- stratégiájának indikátoraként írják le.</w:t>
      </w:r>
      <w:r w:rsidRPr="004059FB">
        <w:rPr>
          <w:rStyle w:val="Lbjegyzet-hivatkozs"/>
          <w:rFonts w:ascii="Times New Roman" w:hAnsi="Times New Roman" w:cs="Times New Roman"/>
          <w:color w:val="404040" w:themeColor="text1" w:themeTint="BF"/>
          <w:sz w:val="24"/>
          <w:szCs w:val="24"/>
        </w:rPr>
        <w:footnoteReference w:id="19"/>
      </w:r>
      <w:r w:rsidRPr="004059FB">
        <w:rPr>
          <w:rFonts w:ascii="Times New Roman" w:hAnsi="Times New Roman" w:cs="Times New Roman"/>
          <w:color w:val="404040" w:themeColor="text1" w:themeTint="BF"/>
          <w:sz w:val="24"/>
          <w:szCs w:val="24"/>
        </w:rPr>
        <w:t xml:space="preserve"> </w:t>
      </w:r>
    </w:p>
    <w:p w:rsidR="002F3F6C" w:rsidRPr="006C4BDF" w:rsidRDefault="002F3F6C" w:rsidP="002F3F6C">
      <w:pPr>
        <w:rPr>
          <w:rFonts w:eastAsia="Times New Roman" w:cs="Arial"/>
          <w:b/>
          <w:bCs/>
          <w:iCs/>
          <w:color w:val="008000"/>
          <w:sz w:val="24"/>
          <w:szCs w:val="24"/>
          <w:lang w:eastAsia="hu-HU"/>
        </w:rPr>
      </w:pPr>
      <w:bookmarkStart w:id="4" w:name="_Toc521878187"/>
      <w:r w:rsidRPr="006C4BDF">
        <w:rPr>
          <w:rFonts w:eastAsia="Times New Roman" w:cs="Arial"/>
          <w:b/>
          <w:bCs/>
          <w:iCs/>
          <w:color w:val="008000"/>
          <w:sz w:val="24"/>
          <w:szCs w:val="24"/>
          <w:lang w:eastAsia="hu-HU"/>
        </w:rPr>
        <w:t>A kínai multinacionális vállalatok belépése Európába</w:t>
      </w:r>
      <w:bookmarkEnd w:id="4"/>
    </w:p>
    <w:p w:rsidR="001F7CD2" w:rsidRPr="004059FB" w:rsidRDefault="002F3F6C" w:rsidP="001F7CD2">
      <w:pPr>
        <w:autoSpaceDE w:val="0"/>
        <w:autoSpaceDN w:val="0"/>
        <w:adjustRightInd w:val="0"/>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szCs w:val="24"/>
        </w:rPr>
        <w:t xml:space="preserve">Tanulmányok bizonyítják, hogy a nagyértékű kínai FDI a kezdeti szakaszában nemzetközi vegyes vállalatok (joint venture) formájában vette kezdetét. A </w:t>
      </w:r>
      <w:r w:rsidRPr="004059FB">
        <w:rPr>
          <w:rFonts w:ascii="Times New Roman" w:hAnsi="Times New Roman" w:cs="Times New Roman"/>
          <w:i/>
          <w:color w:val="404040" w:themeColor="text1" w:themeTint="BF"/>
          <w:sz w:val="24"/>
          <w:szCs w:val="24"/>
        </w:rPr>
        <w:t>go global</w:t>
      </w:r>
      <w:r w:rsidRPr="004059FB">
        <w:rPr>
          <w:rFonts w:ascii="Times New Roman" w:hAnsi="Times New Roman" w:cs="Times New Roman"/>
          <w:color w:val="404040" w:themeColor="text1" w:themeTint="BF"/>
          <w:sz w:val="24"/>
          <w:szCs w:val="24"/>
        </w:rPr>
        <w:t xml:space="preserve"> politika bevezetését követően azonban már a kínai FDI döntő többsége fúziók és felvásárlások révén került Európába, bár a zöldmezős beruházások szintén egyre lényegesebb szerepet kapnak. A fúziók és felvásárlások a Kínából Európába irányuló befektetések több mint 95 százalékét tették ki 2015-ben (lásd 2. ábra).</w:t>
      </w:r>
      <w:r w:rsidRPr="004059FB">
        <w:rPr>
          <w:rStyle w:val="Lbjegyzet-hivatkozs"/>
          <w:rFonts w:ascii="Times New Roman" w:hAnsi="Times New Roman" w:cs="Times New Roman"/>
          <w:color w:val="404040" w:themeColor="text1" w:themeTint="BF"/>
          <w:sz w:val="24"/>
          <w:szCs w:val="24"/>
        </w:rPr>
        <w:footnoteReference w:id="20"/>
      </w:r>
      <w:r w:rsidR="001F7CD2" w:rsidRPr="004059FB">
        <w:rPr>
          <w:rFonts w:ascii="Times New Roman" w:hAnsi="Times New Roman" w:cs="Times New Roman"/>
          <w:color w:val="404040" w:themeColor="text1" w:themeTint="BF"/>
          <w:sz w:val="24"/>
          <w:szCs w:val="24"/>
        </w:rPr>
        <w:t xml:space="preserve"> Ahogyan a 2. ábra is mutatja, a nemzetköziesedés hagyományos módjaival ellentétben a kínai multinacionális vállalatok túlnyomó többsége már létező üzleti vállalkozások felvásárlásába kapcsolódott be Európában. 2018-ban kínai befektetők tulajdonában volt részben vagy egészben legalább négy repülőtér, hat kikötő, szélerőműparkok legalább kilenc országban és tizenhárom profi labdarúgócsapat.</w:t>
      </w:r>
      <w:r w:rsidR="001F7CD2" w:rsidRPr="004059FB">
        <w:rPr>
          <w:rStyle w:val="Lbjegyzet-hivatkozs"/>
          <w:rFonts w:ascii="Times New Roman" w:hAnsi="Times New Roman" w:cs="Times New Roman"/>
          <w:color w:val="404040" w:themeColor="text1" w:themeTint="BF"/>
          <w:sz w:val="24"/>
          <w:szCs w:val="24"/>
        </w:rPr>
        <w:footnoteReference w:id="21"/>
      </w:r>
      <w:r w:rsidR="001F7CD2" w:rsidRPr="004059FB">
        <w:rPr>
          <w:rFonts w:ascii="Times New Roman" w:hAnsi="Times New Roman" w:cs="Times New Roman"/>
          <w:color w:val="404040" w:themeColor="text1" w:themeTint="BF"/>
          <w:sz w:val="24"/>
          <w:szCs w:val="24"/>
        </w:rPr>
        <w:t xml:space="preserve"> Mivel a kínai vállalkozások döntő többsége fúziókon és felvásárlásokon keresztül kerül Európába, sokan felvetik a kérdést, hogy ezek az akvizíciók a helyi gazdaság foglyul ejtésének egyik eszköze, mivel a stratégiai jelentőségű vállalkozások külföldi befektetőknek való átruházását eredményezi.</w:t>
      </w:r>
    </w:p>
    <w:p w:rsidR="00EC3917" w:rsidRDefault="00EC3917" w:rsidP="002F3F6C">
      <w:pPr>
        <w:autoSpaceDE w:val="0"/>
        <w:autoSpaceDN w:val="0"/>
        <w:adjustRightInd w:val="0"/>
        <w:jc w:val="both"/>
        <w:rPr>
          <w:rFonts w:ascii="Times New Roman" w:hAnsi="Times New Roman" w:cs="Times New Roman"/>
          <w:sz w:val="24"/>
          <w:szCs w:val="24"/>
        </w:rPr>
        <w:sectPr w:rsidR="00EC3917" w:rsidSect="00EF28D6">
          <w:type w:val="continuous"/>
          <w:pgSz w:w="11906" w:h="16838"/>
          <w:pgMar w:top="1134" w:right="1134" w:bottom="1276" w:left="1134" w:header="709" w:footer="709" w:gutter="0"/>
          <w:cols w:num="2" w:space="708"/>
        </w:sectPr>
      </w:pPr>
    </w:p>
    <w:p w:rsidR="00EC3917" w:rsidRPr="00EC3917" w:rsidRDefault="00EC3917" w:rsidP="00EC3917">
      <w:pPr>
        <w:pStyle w:val="Cmsor2"/>
        <w:spacing w:before="0" w:line="360" w:lineRule="auto"/>
        <w:jc w:val="center"/>
        <w:rPr>
          <w:rFonts w:ascii="Palatino Linotype" w:eastAsiaTheme="minorHAnsi" w:hAnsi="Palatino Linotype" w:cstheme="minorBidi"/>
          <w:bCs w:val="0"/>
          <w:iCs/>
          <w:color w:val="008000"/>
          <w:sz w:val="20"/>
          <w:szCs w:val="20"/>
        </w:rPr>
      </w:pPr>
      <w:bookmarkStart w:id="5" w:name="_Toc521875738"/>
      <w:bookmarkStart w:id="6" w:name="_Toc521878188"/>
      <w:r w:rsidRPr="00EC3917">
        <w:rPr>
          <w:rFonts w:ascii="Palatino Linotype" w:eastAsiaTheme="minorHAnsi" w:hAnsi="Palatino Linotype" w:cstheme="minorBidi"/>
          <w:bCs w:val="0"/>
          <w:iCs/>
          <w:color w:val="008000"/>
          <w:sz w:val="20"/>
          <w:szCs w:val="20"/>
        </w:rPr>
        <w:lastRenderedPageBreak/>
        <w:t>2. ábra: Kínából Európába irányuló FDI a belépés módja szerint (beruházás, millió USD) 2000-2015</w:t>
      </w:r>
      <w:bookmarkEnd w:id="5"/>
      <w:bookmarkEnd w:id="6"/>
    </w:p>
    <w:p w:rsidR="002F3F6C" w:rsidRDefault="00EC3917" w:rsidP="00EC3917">
      <w:pPr>
        <w:autoSpaceDE w:val="0"/>
        <w:autoSpaceDN w:val="0"/>
        <w:adjustRightInd w:val="0"/>
        <w:jc w:val="center"/>
        <w:rPr>
          <w:rFonts w:ascii="Times New Roman" w:hAnsi="Times New Roman" w:cs="Times New Roman"/>
          <w:sz w:val="24"/>
          <w:szCs w:val="24"/>
        </w:rPr>
      </w:pPr>
      <w:r w:rsidRPr="00EC3917">
        <w:rPr>
          <w:rFonts w:ascii="Times New Roman" w:hAnsi="Times New Roman" w:cs="Times New Roman"/>
          <w:noProof/>
          <w:sz w:val="24"/>
          <w:szCs w:val="24"/>
          <w:lang w:eastAsia="hu-HU"/>
        </w:rPr>
        <w:drawing>
          <wp:inline distT="0" distB="0" distL="0" distR="0">
            <wp:extent cx="4676775" cy="3398004"/>
            <wp:effectExtent l="1905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5310" cy="3404205"/>
                    </a:xfrm>
                    <a:prstGeom prst="rect">
                      <a:avLst/>
                    </a:prstGeom>
                    <a:noFill/>
                    <a:ln>
                      <a:noFill/>
                    </a:ln>
                  </pic:spPr>
                </pic:pic>
              </a:graphicData>
            </a:graphic>
          </wp:inline>
        </w:drawing>
      </w:r>
    </w:p>
    <w:p w:rsidR="00EC3917" w:rsidRPr="00EE5DA3" w:rsidRDefault="00EE5DA3" w:rsidP="00EE5DA3">
      <w:pPr>
        <w:spacing w:after="0" w:line="240" w:lineRule="auto"/>
        <w:jc w:val="center"/>
        <w:rPr>
          <w:rFonts w:ascii="Times New Roman" w:hAnsi="Times New Roman" w:cs="Times New Roman"/>
          <w:i/>
          <w:sz w:val="24"/>
          <w:szCs w:val="24"/>
        </w:rPr>
      </w:pPr>
      <w:r w:rsidRPr="00EE5DA3">
        <w:rPr>
          <w:b/>
          <w:i/>
          <w:color w:val="404040" w:themeColor="text1" w:themeTint="BF"/>
          <w:sz w:val="16"/>
          <w:szCs w:val="16"/>
        </w:rPr>
        <w:t>Forrás: J. Hellström, China’s Acquisitions in Europe, 2016.</w:t>
      </w:r>
    </w:p>
    <w:p w:rsidR="00EC3917" w:rsidRDefault="00EC3917" w:rsidP="002F3F6C">
      <w:pPr>
        <w:autoSpaceDE w:val="0"/>
        <w:autoSpaceDN w:val="0"/>
        <w:adjustRightInd w:val="0"/>
        <w:jc w:val="both"/>
        <w:rPr>
          <w:rFonts w:ascii="Times New Roman" w:hAnsi="Times New Roman" w:cs="Times New Roman"/>
          <w:sz w:val="24"/>
          <w:szCs w:val="24"/>
        </w:rPr>
      </w:pPr>
    </w:p>
    <w:p w:rsidR="00EC3917" w:rsidRDefault="00EC3917" w:rsidP="002F3F6C">
      <w:pPr>
        <w:autoSpaceDE w:val="0"/>
        <w:autoSpaceDN w:val="0"/>
        <w:adjustRightInd w:val="0"/>
        <w:jc w:val="both"/>
        <w:rPr>
          <w:rFonts w:ascii="Times New Roman" w:hAnsi="Times New Roman" w:cs="Times New Roman"/>
          <w:sz w:val="24"/>
          <w:szCs w:val="24"/>
        </w:rPr>
        <w:sectPr w:rsidR="00EC3917" w:rsidSect="00EC3917">
          <w:type w:val="continuous"/>
          <w:pgSz w:w="11906" w:h="16838"/>
          <w:pgMar w:top="1134" w:right="1134" w:bottom="1276" w:left="1134" w:header="709" w:footer="709" w:gutter="0"/>
          <w:cols w:space="708"/>
        </w:sectPr>
      </w:pPr>
    </w:p>
    <w:p w:rsidR="00EC3917" w:rsidRDefault="00EC3917" w:rsidP="002F3F6C">
      <w:pPr>
        <w:autoSpaceDE w:val="0"/>
        <w:autoSpaceDN w:val="0"/>
        <w:adjustRightInd w:val="0"/>
        <w:jc w:val="both"/>
        <w:rPr>
          <w:rFonts w:ascii="Times New Roman" w:hAnsi="Times New Roman" w:cs="Times New Roman"/>
          <w:sz w:val="24"/>
          <w:szCs w:val="24"/>
        </w:rPr>
        <w:sectPr w:rsidR="00EC3917" w:rsidSect="00EF28D6">
          <w:type w:val="continuous"/>
          <w:pgSz w:w="11906" w:h="16838"/>
          <w:pgMar w:top="1134" w:right="1134" w:bottom="1276" w:left="1134" w:header="709" w:footer="709" w:gutter="0"/>
          <w:cols w:num="2" w:space="708"/>
        </w:sectPr>
      </w:pPr>
    </w:p>
    <w:p w:rsidR="002F3F6C" w:rsidRPr="006C4BDF" w:rsidRDefault="002F3F6C" w:rsidP="002F3F6C">
      <w:pPr>
        <w:rPr>
          <w:rFonts w:eastAsia="Times New Roman" w:cs="Arial"/>
          <w:b/>
          <w:bCs/>
          <w:iCs/>
          <w:color w:val="008000"/>
          <w:sz w:val="24"/>
          <w:szCs w:val="24"/>
          <w:lang w:eastAsia="hu-HU"/>
        </w:rPr>
      </w:pPr>
      <w:r w:rsidRPr="006C4BDF">
        <w:rPr>
          <w:rFonts w:eastAsia="Times New Roman" w:cs="Arial"/>
          <w:b/>
          <w:bCs/>
          <w:iCs/>
          <w:color w:val="008000"/>
          <w:sz w:val="24"/>
          <w:szCs w:val="24"/>
          <w:lang w:eastAsia="hu-HU"/>
        </w:rPr>
        <w:t xml:space="preserve">Kínai multinacionális vállalatok befektetései Magyarországon </w:t>
      </w:r>
    </w:p>
    <w:p w:rsidR="002F3F6C" w:rsidRPr="004059FB" w:rsidRDefault="002F3F6C" w:rsidP="002F3F6C">
      <w:pPr>
        <w:jc w:val="both"/>
        <w:rPr>
          <w:rFonts w:ascii="Times New Roman" w:hAnsi="Times New Roman" w:cs="Times New Roman"/>
          <w:color w:val="404040" w:themeColor="text1" w:themeTint="BF"/>
          <w:sz w:val="24"/>
        </w:rPr>
      </w:pPr>
      <w:r w:rsidRPr="004059FB">
        <w:rPr>
          <w:rFonts w:ascii="Times New Roman" w:hAnsi="Times New Roman" w:cs="Times New Roman"/>
          <w:color w:val="404040" w:themeColor="text1" w:themeTint="BF"/>
          <w:sz w:val="24"/>
        </w:rPr>
        <w:t>A kínai befektetések értéke Közép- és Kelet-Európában relatíve alacsony volt, de a régió számos országa tapasztalta meg gyors növekedésüket 2010 után. McCaleb és Szunomár azt állítja, hogy a közép-kelet-európai kínai befektetések eltérnek a nyugati vállalatokétól olyan speciális intézményi tényezők miatt, amelyek befolyásolják a befektetési döntéseket. Említésre érdemes a 2012-ben Varsóban megalapított „16+1 együttműködés”, amelynek célja a regionális együttműködések előmozdítása a kereskedelmi kapcsolatok és az infrastrukturális integráció erősítése révén</w:t>
      </w:r>
      <w:r w:rsidRPr="004059FB">
        <w:rPr>
          <w:rFonts w:ascii="Times New Roman" w:hAnsi="Times New Roman" w:cs="Times New Roman"/>
          <w:color w:val="404040" w:themeColor="text1" w:themeTint="BF"/>
          <w:sz w:val="24"/>
          <w:szCs w:val="24"/>
        </w:rPr>
        <w:t xml:space="preserve"> 16 </w:t>
      </w:r>
      <w:r w:rsidRPr="004059FB">
        <w:rPr>
          <w:rFonts w:ascii="Times New Roman" w:hAnsi="Times New Roman" w:cs="Times New Roman"/>
          <w:color w:val="404040" w:themeColor="text1" w:themeTint="BF"/>
          <w:sz w:val="24"/>
          <w:szCs w:val="24"/>
        </w:rPr>
        <w:t>régiós országban. A magyar kormány elköteleződést mutatott ezen kezdeményezések iránt, például aláírt egy közös közleményt az „Egy Övezet, Egy Út” tervről 2017 májusában. Ezek célja a határokon átívelő kooperáció és az olyan projektek befejezésének lehetővé tétele, mint a Budapest-Belgrád vasútvonal; ugyanakkor pedig segít Kínának hatékonyan strukturálnia a befektetéseit a régióban. Magyarország</w:t>
      </w:r>
      <w:r w:rsidRPr="004059FB">
        <w:rPr>
          <w:rFonts w:ascii="Times New Roman" w:hAnsi="Times New Roman" w:cs="Times New Roman"/>
          <w:color w:val="404040" w:themeColor="text1" w:themeTint="BF"/>
          <w:sz w:val="24"/>
        </w:rPr>
        <w:t xml:space="preserve"> vonzotta a legnagyobb kínai FDI-t Közép-Kelet-Európában, felülmúlva a visegrádi országokat (Lengyelországot is beleértve, amelyet a régió vezető FDI-vonzó országaként tartjuk számon).</w:t>
      </w:r>
      <w:r w:rsidRPr="004059FB">
        <w:rPr>
          <w:rStyle w:val="Lbjegyzet-hivatkozs"/>
          <w:rFonts w:ascii="Times New Roman" w:hAnsi="Times New Roman" w:cs="Times New Roman"/>
          <w:color w:val="404040" w:themeColor="text1" w:themeTint="BF"/>
          <w:sz w:val="24"/>
        </w:rPr>
        <w:footnoteReference w:id="22"/>
      </w:r>
      <w:r w:rsidRPr="004059FB">
        <w:rPr>
          <w:rFonts w:ascii="Times New Roman" w:hAnsi="Times New Roman" w:cs="Times New Roman"/>
          <w:color w:val="404040" w:themeColor="text1" w:themeTint="BF"/>
          <w:sz w:val="24"/>
        </w:rPr>
        <w:t xml:space="preserve"> Magyarországra 2,1 milliárd euró értékű kínai befektetés érkezett 2000 és 2016 között.</w:t>
      </w:r>
      <w:r w:rsidRPr="004059FB">
        <w:rPr>
          <w:rStyle w:val="Lbjegyzet-hivatkozs"/>
          <w:rFonts w:ascii="Times New Roman" w:hAnsi="Times New Roman" w:cs="Times New Roman"/>
          <w:color w:val="404040" w:themeColor="text1" w:themeTint="BF"/>
          <w:sz w:val="24"/>
        </w:rPr>
        <w:footnoteReference w:id="23"/>
      </w:r>
      <w:r w:rsidRPr="004059FB">
        <w:rPr>
          <w:rFonts w:ascii="Times New Roman" w:hAnsi="Times New Roman" w:cs="Times New Roman"/>
          <w:color w:val="404040" w:themeColor="text1" w:themeTint="BF"/>
          <w:sz w:val="24"/>
        </w:rPr>
        <w:t xml:space="preserve"> Az EU-integráció, a kínai </w:t>
      </w:r>
      <w:r w:rsidRPr="004059FB">
        <w:rPr>
          <w:rFonts w:ascii="Times New Roman" w:hAnsi="Times New Roman" w:cs="Times New Roman"/>
          <w:color w:val="404040" w:themeColor="text1" w:themeTint="BF"/>
          <w:sz w:val="24"/>
        </w:rPr>
        <w:lastRenderedPageBreak/>
        <w:t>diaszpóra, valamint a kínai kormányhoz fűződő, régre visszanyúló politikai kapcsolatok révén Magyarország lett a kínai FDI fő célországa a régióban.</w:t>
      </w:r>
      <w:r w:rsidRPr="004059FB">
        <w:rPr>
          <w:rStyle w:val="Lbjegyzet-hivatkozs"/>
          <w:rFonts w:ascii="Times New Roman" w:hAnsi="Times New Roman" w:cs="Times New Roman"/>
          <w:color w:val="404040" w:themeColor="text1" w:themeTint="BF"/>
          <w:sz w:val="24"/>
        </w:rPr>
        <w:footnoteReference w:id="24"/>
      </w:r>
      <w:r w:rsidRPr="004059FB">
        <w:rPr>
          <w:rFonts w:ascii="Times New Roman" w:hAnsi="Times New Roman" w:cs="Times New Roman"/>
          <w:color w:val="404040" w:themeColor="text1" w:themeTint="BF"/>
          <w:sz w:val="24"/>
        </w:rPr>
        <w:t xml:space="preserve"> </w:t>
      </w:r>
    </w:p>
    <w:p w:rsidR="002F3F6C" w:rsidRPr="004059FB" w:rsidRDefault="002F3F6C" w:rsidP="002F3F6C">
      <w:pPr>
        <w:jc w:val="both"/>
        <w:rPr>
          <w:rFonts w:ascii="Times New Roman" w:hAnsi="Times New Roman" w:cs="Times New Roman"/>
          <w:color w:val="404040" w:themeColor="text1" w:themeTint="BF"/>
          <w:sz w:val="24"/>
        </w:rPr>
      </w:pPr>
      <w:r w:rsidRPr="004059FB">
        <w:rPr>
          <w:rFonts w:ascii="Times New Roman" w:hAnsi="Times New Roman" w:cs="Times New Roman"/>
          <w:color w:val="404040" w:themeColor="text1" w:themeTint="BF"/>
          <w:sz w:val="24"/>
        </w:rPr>
        <w:t xml:space="preserve">Magyarországon a legfontosabb kínai multinacionális vállalatok a feldolgozóiparban tevékenykednek, amik a rendelkezésre álló befektetési módok közül főleg a felvásárlást előnyben részesítve nemzetköziesítették üzleti tevékenységüket (lásd 2. táblázat). Ezek a vállalatok sok esetben megvásárolták más vállalatok gyárait vagy elektronikai ipari szolgáltatók korábbi partnereit váltották ki. De a nyugat-európai viszonyokkal ellentétben Magyarországon a zöldmezős beruházások szintén jelentősek. A 2. táblázat a kínai multinacionális vállalatok hazai befektetéseiről ad rövid összefoglalót. </w:t>
      </w:r>
    </w:p>
    <w:p w:rsidR="00D31591" w:rsidRPr="004059FB" w:rsidRDefault="00D31591" w:rsidP="002F3F6C">
      <w:pPr>
        <w:jc w:val="both"/>
        <w:rPr>
          <w:rFonts w:ascii="Times New Roman" w:hAnsi="Times New Roman" w:cs="Times New Roman"/>
          <w:color w:val="404040" w:themeColor="text1" w:themeTint="BF"/>
          <w:sz w:val="24"/>
          <w:szCs w:val="24"/>
        </w:rPr>
      </w:pPr>
      <w:r w:rsidRPr="004059FB">
        <w:rPr>
          <w:rFonts w:ascii="Times New Roman" w:hAnsi="Times New Roman" w:cs="Times New Roman"/>
          <w:color w:val="404040" w:themeColor="text1" w:themeTint="BF"/>
          <w:sz w:val="24"/>
        </w:rPr>
        <w:t>Bár a kínai multinacionális vállalatok a teljes FDI-állománynak csak kis részét teszik ki Magyarországon, munkahelyeket teremtettek és őriztek meg, és hozzájárultak befektetéseikkel és exportjukkal a növekedéshez a gazdasági világválság alatt. Továbbá sokuk (például a Lenovo, a ZTE és a Huawei) Magyarországot tette meg tevékenysége európai regionális központjává.</w:t>
      </w:r>
      <w:r w:rsidRPr="004059FB">
        <w:rPr>
          <w:rStyle w:val="Lbjegyzet-hivatkozs"/>
          <w:rFonts w:ascii="Times New Roman" w:hAnsi="Times New Roman" w:cs="Times New Roman"/>
          <w:color w:val="404040" w:themeColor="text1" w:themeTint="BF"/>
          <w:sz w:val="24"/>
        </w:rPr>
        <w:footnoteReference w:id="25"/>
      </w:r>
      <w:r w:rsidRPr="004059FB">
        <w:rPr>
          <w:rFonts w:ascii="Times New Roman" w:hAnsi="Times New Roman" w:cs="Times New Roman"/>
          <w:color w:val="404040" w:themeColor="text1" w:themeTint="BF"/>
          <w:sz w:val="24"/>
          <w:szCs w:val="24"/>
        </w:rPr>
        <w:t xml:space="preserve"> Ezzel együtt nem minden kínai multinacionális vállalat írt sikertörténetet a magyarországi tevékenységével</w:t>
      </w:r>
      <w:r w:rsidRPr="004059FB">
        <w:rPr>
          <w:rFonts w:ascii="Times New Roman" w:hAnsi="Times New Roman" w:cs="Times New Roman"/>
          <w:color w:val="404040" w:themeColor="text1" w:themeTint="BF"/>
          <w:sz w:val="24"/>
        </w:rPr>
        <w:t xml:space="preserve">. Matura Tamás </w:t>
      </w:r>
      <w:r w:rsidRPr="004059FB">
        <w:rPr>
          <w:rFonts w:ascii="Times New Roman" w:hAnsi="Times New Roman" w:cs="Times New Roman"/>
          <w:color w:val="404040" w:themeColor="text1" w:themeTint="BF"/>
          <w:sz w:val="24"/>
          <w:szCs w:val="24"/>
        </w:rPr>
        <w:t>(2017) kimutatta, hogy a 2000-es évek eleje óta Magyarországon befektető 22 kínai multinacionális nagyvállalat közül csak a fele sikeres - a többi befektetés még épp az  üzletkötés fázisban van, vagy már meghiúsult</w:t>
      </w:r>
      <w:r w:rsidRPr="004059FB">
        <w:rPr>
          <w:rFonts w:ascii="Times New Roman" w:hAnsi="Times New Roman" w:cs="Times New Roman"/>
          <w:color w:val="404040" w:themeColor="text1" w:themeTint="BF"/>
          <w:sz w:val="24"/>
        </w:rPr>
        <w:t xml:space="preserve">. </w:t>
      </w:r>
      <w:r w:rsidRPr="004059FB">
        <w:rPr>
          <w:rFonts w:ascii="Times New Roman" w:hAnsi="Times New Roman" w:cs="Times New Roman"/>
          <w:color w:val="404040" w:themeColor="text1" w:themeTint="BF"/>
          <w:sz w:val="24"/>
        </w:rPr>
        <w:t>Összességében a politikai retorikával ellentétben a kínai multinacionális nagyvállalatok hazai elkötelezettsége alacsony maradt: az új működőtőke-befektetések értéke 2012 és 2017 között mindössze 20 millió dollár volt.</w:t>
      </w:r>
      <w:r w:rsidRPr="004059FB">
        <w:rPr>
          <w:rStyle w:val="Lbjegyzet-hivatkozs"/>
          <w:rFonts w:ascii="Times New Roman" w:hAnsi="Times New Roman" w:cs="Times New Roman"/>
          <w:color w:val="404040" w:themeColor="text1" w:themeTint="BF"/>
          <w:sz w:val="24"/>
        </w:rPr>
        <w:footnoteReference w:id="26"/>
      </w:r>
      <w:r w:rsidRPr="004059FB">
        <w:rPr>
          <w:rFonts w:ascii="Times New Roman" w:hAnsi="Times New Roman" w:cs="Times New Roman"/>
          <w:color w:val="404040" w:themeColor="text1" w:themeTint="BF"/>
          <w:sz w:val="24"/>
        </w:rPr>
        <w:t xml:space="preserve"> </w:t>
      </w:r>
    </w:p>
    <w:p w:rsidR="002F3F6C" w:rsidRPr="00D31591" w:rsidRDefault="002F3F6C" w:rsidP="00D31591">
      <w:pPr>
        <w:pStyle w:val="Cmsor2"/>
        <w:spacing w:before="0" w:line="240" w:lineRule="auto"/>
        <w:jc w:val="center"/>
        <w:rPr>
          <w:rFonts w:ascii="Palatino Linotype" w:eastAsiaTheme="minorHAnsi" w:hAnsi="Palatino Linotype" w:cstheme="minorBidi"/>
          <w:bCs w:val="0"/>
          <w:iCs/>
          <w:color w:val="008000"/>
          <w:sz w:val="20"/>
          <w:szCs w:val="20"/>
        </w:rPr>
      </w:pPr>
      <w:r w:rsidRPr="00D31591">
        <w:rPr>
          <w:rFonts w:ascii="Palatino Linotype" w:eastAsiaTheme="minorHAnsi" w:hAnsi="Palatino Linotype" w:cstheme="minorBidi"/>
          <w:bCs w:val="0"/>
          <w:iCs/>
          <w:color w:val="008000"/>
          <w:sz w:val="20"/>
          <w:szCs w:val="20"/>
        </w:rPr>
        <w:t>2. táblázat: A Magyarországon működő kínai multinacionális vállalatok (állomány, belépés, ágazat)</w:t>
      </w:r>
    </w:p>
    <w:tbl>
      <w:tblPr>
        <w:tblStyle w:val="Rcsostblzat"/>
        <w:tblW w:w="0" w:type="auto"/>
        <w:jc w:val="center"/>
        <w:tblLook w:val="04A0" w:firstRow="1" w:lastRow="0" w:firstColumn="1" w:lastColumn="0" w:noHBand="0" w:noVBand="1"/>
      </w:tblPr>
      <w:tblGrid>
        <w:gridCol w:w="942"/>
        <w:gridCol w:w="1438"/>
        <w:gridCol w:w="2075"/>
      </w:tblGrid>
      <w:tr w:rsidR="004059FB" w:rsidRPr="004059FB" w:rsidTr="00D31591">
        <w:trPr>
          <w:jc w:val="center"/>
        </w:trPr>
        <w:tc>
          <w:tcPr>
            <w:tcW w:w="644" w:type="dxa"/>
          </w:tcPr>
          <w:p w:rsidR="002F3F6C" w:rsidRPr="004059FB" w:rsidRDefault="002F3F6C" w:rsidP="00D31591">
            <w:pPr>
              <w:spacing w:line="276" w:lineRule="auto"/>
              <w:jc w:val="center"/>
              <w:rPr>
                <w:rFonts w:ascii="Times New Roman" w:hAnsi="Times New Roman" w:cs="Times New Roman"/>
                <w:b/>
                <w:color w:val="404040" w:themeColor="text1" w:themeTint="BF"/>
                <w:szCs w:val="24"/>
              </w:rPr>
            </w:pPr>
            <w:r w:rsidRPr="004059FB">
              <w:rPr>
                <w:rFonts w:ascii="Times New Roman" w:hAnsi="Times New Roman" w:cs="Times New Roman"/>
                <w:b/>
                <w:color w:val="404040" w:themeColor="text1" w:themeTint="BF"/>
                <w:szCs w:val="24"/>
              </w:rPr>
              <w:t>Sorszám</w:t>
            </w:r>
          </w:p>
        </w:tc>
        <w:tc>
          <w:tcPr>
            <w:tcW w:w="3041" w:type="dxa"/>
          </w:tcPr>
          <w:p w:rsidR="002F3F6C" w:rsidRPr="004059FB" w:rsidRDefault="002F3F6C" w:rsidP="00D31591">
            <w:pPr>
              <w:spacing w:line="276" w:lineRule="auto"/>
              <w:jc w:val="center"/>
              <w:rPr>
                <w:rFonts w:ascii="Times New Roman" w:hAnsi="Times New Roman" w:cs="Times New Roman"/>
                <w:b/>
                <w:color w:val="404040" w:themeColor="text1" w:themeTint="BF"/>
                <w:szCs w:val="24"/>
              </w:rPr>
            </w:pPr>
            <w:r w:rsidRPr="004059FB">
              <w:rPr>
                <w:rFonts w:ascii="Times New Roman" w:hAnsi="Times New Roman" w:cs="Times New Roman"/>
                <w:b/>
                <w:color w:val="404040" w:themeColor="text1" w:themeTint="BF"/>
                <w:szCs w:val="24"/>
              </w:rPr>
              <w:t>Indikátor</w:t>
            </w:r>
          </w:p>
        </w:tc>
        <w:tc>
          <w:tcPr>
            <w:tcW w:w="4680" w:type="dxa"/>
          </w:tcPr>
          <w:p w:rsidR="002F3F6C" w:rsidRPr="004059FB" w:rsidRDefault="002F3F6C" w:rsidP="00D31591">
            <w:pPr>
              <w:spacing w:line="276" w:lineRule="auto"/>
              <w:jc w:val="center"/>
              <w:rPr>
                <w:rFonts w:ascii="Times New Roman" w:hAnsi="Times New Roman" w:cs="Times New Roman"/>
                <w:b/>
                <w:color w:val="404040" w:themeColor="text1" w:themeTint="BF"/>
                <w:szCs w:val="24"/>
              </w:rPr>
            </w:pPr>
            <w:r w:rsidRPr="004059FB">
              <w:rPr>
                <w:rFonts w:ascii="Times New Roman" w:hAnsi="Times New Roman" w:cs="Times New Roman"/>
                <w:b/>
                <w:color w:val="404040" w:themeColor="text1" w:themeTint="BF"/>
                <w:szCs w:val="24"/>
              </w:rPr>
              <w:t>Leírás</w:t>
            </w:r>
          </w:p>
        </w:tc>
      </w:tr>
      <w:tr w:rsidR="004059FB" w:rsidRPr="004059FB" w:rsidTr="00D31591">
        <w:trPr>
          <w:jc w:val="center"/>
        </w:trPr>
        <w:tc>
          <w:tcPr>
            <w:tcW w:w="644" w:type="dxa"/>
          </w:tcPr>
          <w:p w:rsidR="002F3F6C" w:rsidRPr="004059FB" w:rsidRDefault="002F3F6C" w:rsidP="002F3F6C">
            <w:pPr>
              <w:pStyle w:val="Listaszerbekezds"/>
              <w:numPr>
                <w:ilvl w:val="0"/>
                <w:numId w:val="45"/>
              </w:numPr>
              <w:spacing w:line="276" w:lineRule="auto"/>
              <w:jc w:val="both"/>
              <w:rPr>
                <w:rFonts w:ascii="Times New Roman" w:hAnsi="Times New Roman" w:cs="Times New Roman"/>
                <w:color w:val="404040" w:themeColor="text1" w:themeTint="BF"/>
                <w:szCs w:val="24"/>
              </w:rPr>
            </w:pPr>
          </w:p>
        </w:tc>
        <w:tc>
          <w:tcPr>
            <w:tcW w:w="3041"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 xml:space="preserve">FDI állomány </w:t>
            </w:r>
          </w:p>
        </w:tc>
        <w:tc>
          <w:tcPr>
            <w:tcW w:w="4680"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3,5 milliárd USD</w:t>
            </w:r>
          </w:p>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A nemzeti FDI állomány 2,5 százaléka</w:t>
            </w:r>
          </w:p>
        </w:tc>
      </w:tr>
      <w:tr w:rsidR="004059FB" w:rsidRPr="004059FB" w:rsidTr="00D31591">
        <w:trPr>
          <w:jc w:val="center"/>
        </w:trPr>
        <w:tc>
          <w:tcPr>
            <w:tcW w:w="644" w:type="dxa"/>
          </w:tcPr>
          <w:p w:rsidR="002F3F6C" w:rsidRPr="004059FB" w:rsidRDefault="002F3F6C" w:rsidP="002F3F6C">
            <w:pPr>
              <w:pStyle w:val="Listaszerbekezds"/>
              <w:numPr>
                <w:ilvl w:val="0"/>
                <w:numId w:val="45"/>
              </w:numPr>
              <w:spacing w:line="276" w:lineRule="auto"/>
              <w:jc w:val="both"/>
              <w:rPr>
                <w:rFonts w:ascii="Times New Roman" w:hAnsi="Times New Roman" w:cs="Times New Roman"/>
                <w:color w:val="404040" w:themeColor="text1" w:themeTint="BF"/>
                <w:szCs w:val="24"/>
              </w:rPr>
            </w:pPr>
          </w:p>
        </w:tc>
        <w:tc>
          <w:tcPr>
            <w:tcW w:w="3041"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A befektetés belépési módja</w:t>
            </w:r>
          </w:p>
        </w:tc>
        <w:tc>
          <w:tcPr>
            <w:tcW w:w="4680"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Többnyire fúziók és felvásárlások, zöldmezős beruházások, vegyes vállalatok</w:t>
            </w:r>
          </w:p>
        </w:tc>
      </w:tr>
      <w:tr w:rsidR="004059FB" w:rsidRPr="004059FB" w:rsidTr="00D31591">
        <w:trPr>
          <w:jc w:val="center"/>
        </w:trPr>
        <w:tc>
          <w:tcPr>
            <w:tcW w:w="644" w:type="dxa"/>
          </w:tcPr>
          <w:p w:rsidR="002F3F6C" w:rsidRPr="004059FB" w:rsidRDefault="002F3F6C" w:rsidP="002F3F6C">
            <w:pPr>
              <w:pStyle w:val="Listaszerbekezds"/>
              <w:numPr>
                <w:ilvl w:val="0"/>
                <w:numId w:val="45"/>
              </w:numPr>
              <w:spacing w:line="276" w:lineRule="auto"/>
              <w:jc w:val="both"/>
              <w:rPr>
                <w:rFonts w:ascii="Times New Roman" w:hAnsi="Times New Roman" w:cs="Times New Roman"/>
                <w:color w:val="404040" w:themeColor="text1" w:themeTint="BF"/>
                <w:szCs w:val="24"/>
              </w:rPr>
            </w:pPr>
          </w:p>
        </w:tc>
        <w:tc>
          <w:tcPr>
            <w:tcW w:w="3041"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Főbb érdekeltségi szektorok</w:t>
            </w:r>
          </w:p>
        </w:tc>
        <w:tc>
          <w:tcPr>
            <w:tcW w:w="4680"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Vegyipar, infokommunikáció, elektronika, gyógyszergyártás, pénzügyi közvetítés, szálláshelyszolgáltatás-vendéglátás, logisztika, ingatlan</w:t>
            </w:r>
          </w:p>
        </w:tc>
      </w:tr>
      <w:tr w:rsidR="004059FB" w:rsidRPr="004059FB" w:rsidTr="00D31591">
        <w:trPr>
          <w:jc w:val="center"/>
        </w:trPr>
        <w:tc>
          <w:tcPr>
            <w:tcW w:w="644" w:type="dxa"/>
          </w:tcPr>
          <w:p w:rsidR="002F3F6C" w:rsidRPr="004059FB" w:rsidRDefault="002F3F6C" w:rsidP="002F3F6C">
            <w:pPr>
              <w:pStyle w:val="Listaszerbekezds"/>
              <w:numPr>
                <w:ilvl w:val="0"/>
                <w:numId w:val="45"/>
              </w:numPr>
              <w:spacing w:line="276" w:lineRule="auto"/>
              <w:jc w:val="both"/>
              <w:rPr>
                <w:rFonts w:ascii="Times New Roman" w:hAnsi="Times New Roman" w:cs="Times New Roman"/>
                <w:color w:val="404040" w:themeColor="text1" w:themeTint="BF"/>
                <w:szCs w:val="24"/>
              </w:rPr>
            </w:pPr>
          </w:p>
        </w:tc>
        <w:tc>
          <w:tcPr>
            <w:tcW w:w="3041"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Főbb kínai multinacionális vállalatok</w:t>
            </w:r>
          </w:p>
        </w:tc>
        <w:tc>
          <w:tcPr>
            <w:tcW w:w="4680" w:type="dxa"/>
          </w:tcPr>
          <w:p w:rsidR="002F3F6C" w:rsidRPr="004059FB" w:rsidRDefault="002F3F6C" w:rsidP="00D31591">
            <w:pPr>
              <w:spacing w:line="276" w:lineRule="auto"/>
              <w:jc w:val="both"/>
              <w:rPr>
                <w:rFonts w:ascii="Times New Roman" w:hAnsi="Times New Roman" w:cs="Times New Roman"/>
                <w:color w:val="404040" w:themeColor="text1" w:themeTint="BF"/>
                <w:szCs w:val="24"/>
              </w:rPr>
            </w:pPr>
            <w:r w:rsidRPr="004059FB">
              <w:rPr>
                <w:rFonts w:ascii="Times New Roman" w:hAnsi="Times New Roman" w:cs="Times New Roman"/>
                <w:color w:val="404040" w:themeColor="text1" w:themeTint="BF"/>
                <w:szCs w:val="24"/>
              </w:rPr>
              <w:t>Wanhua, Huawei, ZTE, Lenovo, Orient Solar, Sevenstar, BYD, Xanga, Canyi, Comlink</w:t>
            </w:r>
          </w:p>
        </w:tc>
      </w:tr>
    </w:tbl>
    <w:p w:rsidR="002F3F6C" w:rsidRPr="00D31591" w:rsidRDefault="002F3F6C" w:rsidP="00D31591">
      <w:pPr>
        <w:spacing w:after="0" w:line="240" w:lineRule="auto"/>
        <w:jc w:val="center"/>
        <w:rPr>
          <w:b/>
          <w:i/>
          <w:color w:val="404040" w:themeColor="text1" w:themeTint="BF"/>
          <w:sz w:val="16"/>
          <w:szCs w:val="16"/>
        </w:rPr>
      </w:pPr>
      <w:r w:rsidRPr="00D31591">
        <w:rPr>
          <w:b/>
          <w:i/>
          <w:color w:val="404040" w:themeColor="text1" w:themeTint="BF"/>
          <w:sz w:val="16"/>
          <w:szCs w:val="16"/>
        </w:rPr>
        <w:t>Forrás: McCaleb, A. és Szunomár, Á. (2017), Tamas Matura (2017).</w:t>
      </w:r>
    </w:p>
    <w:p w:rsidR="002F3F6C" w:rsidRDefault="002F3F6C" w:rsidP="00EF28D6">
      <w:pPr>
        <w:pStyle w:val="Szvegtrzs"/>
        <w:spacing w:line="240" w:lineRule="auto"/>
        <w:rPr>
          <w:rFonts w:ascii="Palatino Linotype" w:eastAsiaTheme="minorHAnsi" w:hAnsi="Palatino Linotype"/>
          <w:color w:val="404040" w:themeColor="text1" w:themeTint="BF"/>
          <w:sz w:val="22"/>
          <w:szCs w:val="22"/>
          <w:lang w:eastAsia="en-US"/>
        </w:rPr>
      </w:pPr>
    </w:p>
    <w:p w:rsidR="00EF28D6" w:rsidRDefault="00EF28D6">
      <w:pPr>
        <w:rPr>
          <w:rFonts w:cs="Arial"/>
          <w:color w:val="404040" w:themeColor="text1" w:themeTint="BF"/>
        </w:rPr>
      </w:pPr>
      <w:r>
        <w:rPr>
          <w:color w:val="404040" w:themeColor="text1" w:themeTint="BF"/>
        </w:rPr>
        <w:br w:type="page"/>
      </w:r>
    </w:p>
    <w:p w:rsidR="00EF28D6" w:rsidRDefault="00EF28D6" w:rsidP="00EF28D6">
      <w:pPr>
        <w:pStyle w:val="Szvegtrzs"/>
        <w:spacing w:line="240" w:lineRule="auto"/>
        <w:rPr>
          <w:rFonts w:ascii="Palatino Linotype" w:eastAsiaTheme="minorHAnsi" w:hAnsi="Palatino Linotype"/>
          <w:color w:val="404040" w:themeColor="text1" w:themeTint="BF"/>
          <w:sz w:val="22"/>
          <w:szCs w:val="22"/>
          <w:lang w:eastAsia="en-US"/>
        </w:rPr>
        <w:sectPr w:rsidR="00EF28D6" w:rsidSect="00EF28D6">
          <w:type w:val="continuous"/>
          <w:pgSz w:w="11906" w:h="16838"/>
          <w:pgMar w:top="1134" w:right="1134" w:bottom="1276" w:left="1134" w:header="709" w:footer="709" w:gutter="0"/>
          <w:cols w:num="2" w:space="708"/>
        </w:sectPr>
      </w:pPr>
    </w:p>
    <w:p w:rsidR="00160CBC" w:rsidRPr="00E9795B" w:rsidRDefault="00160CBC" w:rsidP="00EA7ED4">
      <w:pPr>
        <w:rPr>
          <w:b/>
          <w:color w:val="008000"/>
          <w:sz w:val="20"/>
          <w:szCs w:val="20"/>
        </w:rPr>
      </w:pPr>
      <w:r>
        <w:rPr>
          <w:rFonts w:eastAsia="Times New Roman" w:cs="Arial"/>
          <w:b/>
          <w:bCs/>
          <w:iCs/>
          <w:color w:val="008000"/>
          <w:sz w:val="28"/>
          <w:szCs w:val="28"/>
          <w:lang w:eastAsia="hu-HU"/>
        </w:rPr>
        <w:lastRenderedPageBreak/>
        <w:t>Nemzetközi tendenciák</w:t>
      </w:r>
    </w:p>
    <w:p w:rsidR="00160CBC" w:rsidRDefault="00160CBC" w:rsidP="00EA7ED4">
      <w:pPr>
        <w:jc w:val="both"/>
        <w:rPr>
          <w:rFonts w:cs="Arial"/>
          <w:b/>
          <w:color w:val="404040" w:themeColor="text1" w:themeTint="BF"/>
        </w:rPr>
      </w:pPr>
      <w:r>
        <w:rPr>
          <w:rFonts w:cs="Arial"/>
          <w:b/>
          <w:color w:val="404040" w:themeColor="text1" w:themeTint="BF"/>
        </w:rPr>
        <w:t>A termelési, fogyasztási és foglalkoztatási helyzet alakulása egyes, nemzetközileg fontos gazdaságokban, összehasonlítva a szakértői várakozásokkal és a megelőző időszakkal.</w:t>
      </w:r>
    </w:p>
    <w:tbl>
      <w:tblPr>
        <w:tblpPr w:leftFromText="180" w:rightFromText="180" w:bottomFromText="200" w:vertAnchor="text" w:horzAnchor="margin" w:tblpY="96"/>
        <w:tblW w:w="5000" w:type="pct"/>
        <w:tblLayout w:type="fixed"/>
        <w:tblLook w:val="04A0" w:firstRow="1" w:lastRow="0" w:firstColumn="1" w:lastColumn="0" w:noHBand="0" w:noVBand="1"/>
      </w:tblPr>
      <w:tblGrid>
        <w:gridCol w:w="1699"/>
        <w:gridCol w:w="2696"/>
        <w:gridCol w:w="1417"/>
        <w:gridCol w:w="1133"/>
        <w:gridCol w:w="1475"/>
        <w:gridCol w:w="1218"/>
      </w:tblGrid>
      <w:tr w:rsidR="00160CBC" w:rsidTr="004A0869">
        <w:trPr>
          <w:trHeight w:val="624"/>
        </w:trPr>
        <w:tc>
          <w:tcPr>
            <w:tcW w:w="881" w:type="pct"/>
            <w:tcBorders>
              <w:top w:val="single" w:sz="4" w:space="0" w:color="auto"/>
              <w:left w:val="nil"/>
              <w:bottom w:val="single" w:sz="4" w:space="0" w:color="auto"/>
              <w:right w:val="nil"/>
            </w:tcBorders>
            <w:noWrap/>
            <w:vAlign w:val="center"/>
            <w:hideMark/>
          </w:tcPr>
          <w:p w:rsidR="00160CBC" w:rsidRDefault="00160CBC" w:rsidP="00D31591">
            <w:pPr>
              <w:rPr>
                <w:rFonts w:cs="Arial"/>
                <w:b/>
                <w:color w:val="404040" w:themeColor="text1" w:themeTint="BF"/>
              </w:rPr>
            </w:pPr>
          </w:p>
        </w:tc>
        <w:tc>
          <w:tcPr>
            <w:tcW w:w="1398" w:type="pct"/>
            <w:tcBorders>
              <w:top w:val="single" w:sz="4" w:space="0" w:color="auto"/>
              <w:left w:val="nil"/>
              <w:bottom w:val="single" w:sz="4" w:space="0" w:color="auto"/>
              <w:right w:val="nil"/>
            </w:tcBorders>
            <w:noWrap/>
            <w:vAlign w:val="center"/>
            <w:hideMark/>
          </w:tcPr>
          <w:p w:rsidR="00160CBC" w:rsidRDefault="00160CBC" w:rsidP="00D31591">
            <w:pPr>
              <w:spacing w:after="0"/>
              <w:rPr>
                <w:rFonts w:asciiTheme="minorHAnsi" w:hAnsiTheme="minorHAnsi"/>
                <w:sz w:val="20"/>
                <w:szCs w:val="20"/>
                <w:lang w:eastAsia="hu-HU"/>
              </w:rPr>
            </w:pPr>
          </w:p>
        </w:tc>
        <w:tc>
          <w:tcPr>
            <w:tcW w:w="735" w:type="pct"/>
            <w:tcBorders>
              <w:top w:val="single" w:sz="4" w:space="0" w:color="auto"/>
              <w:left w:val="nil"/>
              <w:bottom w:val="single" w:sz="4" w:space="0" w:color="auto"/>
              <w:right w:val="nil"/>
            </w:tcBorders>
            <w:noWrap/>
            <w:vAlign w:val="center"/>
            <w:hideMark/>
          </w:tcPr>
          <w:p w:rsidR="00160CBC" w:rsidRDefault="00160CBC" w:rsidP="00D31591">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Vonatkozási időszak</w:t>
            </w:r>
          </w:p>
        </w:tc>
        <w:tc>
          <w:tcPr>
            <w:tcW w:w="588" w:type="pct"/>
            <w:tcBorders>
              <w:top w:val="single" w:sz="4" w:space="0" w:color="auto"/>
              <w:left w:val="nil"/>
              <w:bottom w:val="single" w:sz="4" w:space="0" w:color="auto"/>
              <w:right w:val="nil"/>
            </w:tcBorders>
            <w:noWrap/>
            <w:vAlign w:val="center"/>
            <w:hideMark/>
          </w:tcPr>
          <w:p w:rsidR="00160CBC" w:rsidRDefault="00160CBC" w:rsidP="00D31591">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Tényadat</w:t>
            </w:r>
          </w:p>
        </w:tc>
        <w:tc>
          <w:tcPr>
            <w:tcW w:w="765" w:type="pct"/>
            <w:tcBorders>
              <w:top w:val="single" w:sz="4" w:space="0" w:color="auto"/>
              <w:left w:val="nil"/>
              <w:bottom w:val="single" w:sz="4" w:space="0" w:color="auto"/>
              <w:right w:val="nil"/>
            </w:tcBorders>
            <w:noWrap/>
            <w:vAlign w:val="center"/>
            <w:hideMark/>
          </w:tcPr>
          <w:p w:rsidR="00160CBC" w:rsidRDefault="00160CBC" w:rsidP="00D31591">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Várakozások</w:t>
            </w:r>
          </w:p>
        </w:tc>
        <w:tc>
          <w:tcPr>
            <w:tcW w:w="632" w:type="pct"/>
            <w:tcBorders>
              <w:top w:val="single" w:sz="4" w:space="0" w:color="auto"/>
              <w:left w:val="nil"/>
              <w:bottom w:val="single" w:sz="4" w:space="0" w:color="auto"/>
              <w:right w:val="nil"/>
            </w:tcBorders>
            <w:noWrap/>
            <w:vAlign w:val="center"/>
            <w:hideMark/>
          </w:tcPr>
          <w:p w:rsidR="00160CBC" w:rsidRDefault="00160CBC" w:rsidP="00D31591">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Előző időszak</w:t>
            </w:r>
          </w:p>
        </w:tc>
      </w:tr>
      <w:tr w:rsidR="0089548B" w:rsidTr="004A0869">
        <w:trPr>
          <w:trHeight w:val="624"/>
        </w:trPr>
        <w:tc>
          <w:tcPr>
            <w:tcW w:w="881" w:type="pct"/>
            <w:tcBorders>
              <w:top w:val="single" w:sz="4" w:space="0" w:color="auto"/>
              <w:left w:val="nil"/>
              <w:bottom w:val="nil"/>
              <w:right w:val="nil"/>
            </w:tcBorders>
            <w:noWrap/>
            <w:vAlign w:val="center"/>
            <w:hideMark/>
          </w:tcPr>
          <w:p w:rsidR="0089548B" w:rsidRDefault="0089548B" w:rsidP="0089548B">
            <w:pPr>
              <w:rPr>
                <w:rFonts w:eastAsia="Times New Roman" w:cs="Calibri"/>
                <w:color w:val="404040" w:themeColor="text1" w:themeTint="BF"/>
                <w:sz w:val="20"/>
                <w:szCs w:val="20"/>
              </w:rPr>
            </w:pPr>
          </w:p>
        </w:tc>
        <w:tc>
          <w:tcPr>
            <w:tcW w:w="1398" w:type="pct"/>
            <w:tcBorders>
              <w:top w:val="single" w:sz="4" w:space="0" w:color="auto"/>
              <w:left w:val="nil"/>
              <w:bottom w:val="nil"/>
              <w:right w:val="nil"/>
            </w:tcBorders>
            <w:noWrap/>
            <w:vAlign w:val="center"/>
            <w:hideMark/>
          </w:tcPr>
          <w:p w:rsidR="0089548B" w:rsidRDefault="0089548B" w:rsidP="0089548B">
            <w:pPr>
              <w:spacing w:after="0" w:line="240" w:lineRule="auto"/>
              <w:jc w:val="center"/>
              <w:rPr>
                <w:rFonts w:eastAsia="Times New Roman" w:cs="Calibri"/>
                <w:sz w:val="20"/>
                <w:szCs w:val="20"/>
              </w:rPr>
            </w:pPr>
            <w:r>
              <w:rPr>
                <w:rFonts w:eastAsia="Times New Roman" w:cs="Calibri"/>
                <w:color w:val="404040" w:themeColor="text1" w:themeTint="BF"/>
                <w:sz w:val="20"/>
                <w:szCs w:val="20"/>
              </w:rPr>
              <w:t>Munkanélküliségi ráta</w:t>
            </w:r>
          </w:p>
        </w:tc>
        <w:tc>
          <w:tcPr>
            <w:tcW w:w="735" w:type="pct"/>
            <w:tcBorders>
              <w:top w:val="single" w:sz="4" w:space="0" w:color="auto"/>
              <w:left w:val="nil"/>
              <w:bottom w:val="nil"/>
              <w:right w:val="nil"/>
            </w:tcBorders>
            <w:noWrap/>
            <w:vAlign w:val="center"/>
            <w:hideMark/>
          </w:tcPr>
          <w:p w:rsidR="0089548B" w:rsidRDefault="0089548B" w:rsidP="009B5422">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sidR="009B5422">
              <w:rPr>
                <w:rFonts w:eastAsia="Times New Roman" w:cs="Calibri"/>
                <w:color w:val="404040"/>
                <w:sz w:val="20"/>
                <w:szCs w:val="20"/>
              </w:rPr>
              <w:t>Szept</w:t>
            </w:r>
            <w:r w:rsidRPr="00164C8A">
              <w:rPr>
                <w:rFonts w:eastAsia="Times New Roman" w:cs="Calibri"/>
                <w:color w:val="404040"/>
                <w:sz w:val="20"/>
                <w:szCs w:val="20"/>
              </w:rPr>
              <w:t>)</w:t>
            </w:r>
          </w:p>
        </w:tc>
        <w:tc>
          <w:tcPr>
            <w:tcW w:w="588" w:type="pct"/>
            <w:tcBorders>
              <w:top w:val="single" w:sz="4" w:space="0" w:color="auto"/>
              <w:left w:val="nil"/>
              <w:bottom w:val="nil"/>
              <w:right w:val="nil"/>
            </w:tcBorders>
            <w:noWrap/>
            <w:vAlign w:val="center"/>
            <w:hideMark/>
          </w:tcPr>
          <w:p w:rsidR="0089548B" w:rsidRDefault="004353D3" w:rsidP="0089548B">
            <w:pPr>
              <w:spacing w:after="0" w:line="240" w:lineRule="auto"/>
              <w:jc w:val="center"/>
              <w:rPr>
                <w:rFonts w:eastAsia="Times New Roman" w:cs="Arial"/>
                <w:b/>
                <w:bCs/>
                <w:iCs/>
                <w:color w:val="008000"/>
                <w:sz w:val="20"/>
                <w:szCs w:val="20"/>
                <w:lang w:val="en-GB"/>
              </w:rPr>
            </w:pPr>
            <w:r>
              <w:rPr>
                <w:rFonts w:eastAsia="Times New Roman" w:cs="Arial"/>
                <w:b/>
                <w:bCs/>
                <w:iCs/>
                <w:color w:val="404040" w:themeColor="text1" w:themeTint="BF"/>
                <w:sz w:val="20"/>
                <w:szCs w:val="20"/>
              </w:rPr>
              <w:t>5,0</w:t>
            </w:r>
            <w:r w:rsidR="0089548B" w:rsidRPr="0047381B">
              <w:rPr>
                <w:rFonts w:eastAsia="Times New Roman" w:cs="Arial"/>
                <w:b/>
                <w:bCs/>
                <w:iCs/>
                <w:color w:val="404040" w:themeColor="text1" w:themeTint="BF"/>
                <w:sz w:val="20"/>
                <w:szCs w:val="20"/>
              </w:rPr>
              <w:t>%</w:t>
            </w:r>
          </w:p>
        </w:tc>
        <w:tc>
          <w:tcPr>
            <w:tcW w:w="765" w:type="pct"/>
            <w:tcBorders>
              <w:top w:val="single" w:sz="4" w:space="0" w:color="auto"/>
              <w:left w:val="nil"/>
              <w:bottom w:val="nil"/>
              <w:right w:val="nil"/>
            </w:tcBorders>
            <w:noWrap/>
            <w:vAlign w:val="center"/>
            <w:hideMark/>
          </w:tcPr>
          <w:p w:rsidR="0089548B" w:rsidRDefault="004353D3" w:rsidP="0089548B">
            <w:pPr>
              <w:spacing w:after="0" w:line="240" w:lineRule="auto"/>
              <w:jc w:val="center"/>
              <w:rPr>
                <w:b/>
                <w:color w:val="404040" w:themeColor="text1" w:themeTint="BF"/>
                <w:sz w:val="20"/>
                <w:szCs w:val="20"/>
                <w:lang w:val="en-GB"/>
              </w:rPr>
            </w:pPr>
            <w:r>
              <w:rPr>
                <w:rFonts w:eastAsia="Times New Roman" w:cs="Arial"/>
                <w:b/>
                <w:bCs/>
                <w:iCs/>
                <w:color w:val="404040" w:themeColor="text1" w:themeTint="BF"/>
                <w:sz w:val="20"/>
                <w:szCs w:val="20"/>
              </w:rPr>
              <w:t>5,0</w:t>
            </w:r>
            <w:r w:rsidR="0089548B" w:rsidRPr="0047381B">
              <w:rPr>
                <w:b/>
                <w:color w:val="404040" w:themeColor="text1" w:themeTint="BF"/>
                <w:sz w:val="20"/>
                <w:szCs w:val="20"/>
              </w:rPr>
              <w:t>%</w:t>
            </w:r>
          </w:p>
        </w:tc>
        <w:tc>
          <w:tcPr>
            <w:tcW w:w="632" w:type="pct"/>
            <w:tcBorders>
              <w:top w:val="single" w:sz="4" w:space="0" w:color="auto"/>
              <w:left w:val="nil"/>
              <w:bottom w:val="nil"/>
              <w:right w:val="nil"/>
            </w:tcBorders>
            <w:noWrap/>
            <w:vAlign w:val="center"/>
            <w:hideMark/>
          </w:tcPr>
          <w:p w:rsidR="0089548B" w:rsidRDefault="0089548B" w:rsidP="0089548B">
            <w:pPr>
              <w:spacing w:after="0" w:line="240" w:lineRule="auto"/>
              <w:jc w:val="center"/>
              <w:rPr>
                <w:b/>
                <w:color w:val="404040" w:themeColor="text1" w:themeTint="BF"/>
                <w:sz w:val="20"/>
                <w:szCs w:val="20"/>
                <w:lang w:val="en-GB"/>
              </w:rPr>
            </w:pPr>
            <w:r w:rsidRPr="00D47A28">
              <w:rPr>
                <w:b/>
                <w:color w:val="404040" w:themeColor="text1" w:themeTint="BF"/>
                <w:sz w:val="20"/>
                <w:szCs w:val="20"/>
              </w:rPr>
              <w:t>5</w:t>
            </w:r>
            <w:r w:rsidR="00BE5583">
              <w:rPr>
                <w:b/>
                <w:color w:val="404040" w:themeColor="text1" w:themeTint="BF"/>
                <w:sz w:val="20"/>
                <w:szCs w:val="20"/>
              </w:rPr>
              <w:t>,</w:t>
            </w:r>
            <w:r w:rsidRPr="00D47A28">
              <w:rPr>
                <w:b/>
                <w:color w:val="404040" w:themeColor="text1" w:themeTint="BF"/>
                <w:sz w:val="20"/>
                <w:szCs w:val="20"/>
              </w:rPr>
              <w:t>0%</w:t>
            </w:r>
          </w:p>
        </w:tc>
      </w:tr>
      <w:tr w:rsidR="004A0869" w:rsidTr="004A0869">
        <w:trPr>
          <w:trHeight w:val="624"/>
        </w:trPr>
        <w:tc>
          <w:tcPr>
            <w:tcW w:w="881" w:type="pct"/>
            <w:noWrap/>
            <w:vAlign w:val="center"/>
            <w:hideMark/>
          </w:tcPr>
          <w:p w:rsidR="004A0869" w:rsidRDefault="004A0869" w:rsidP="004A0869">
            <w:pPr>
              <w:spacing w:after="0" w:line="240" w:lineRule="auto"/>
              <w:jc w:val="center"/>
              <w:rPr>
                <w:rFonts w:eastAsia="Times New Roman" w:cs="Calibri"/>
                <w:color w:val="404040" w:themeColor="text1" w:themeTint="BF"/>
              </w:rPr>
            </w:pPr>
            <w:r>
              <w:rPr>
                <w:rFonts w:eastAsia="Times New Roman" w:cs="Calibri"/>
                <w:color w:val="404040" w:themeColor="text1" w:themeTint="BF"/>
              </w:rPr>
              <w:t>Németország</w:t>
            </w:r>
          </w:p>
        </w:tc>
        <w:tc>
          <w:tcPr>
            <w:tcW w:w="1398" w:type="pct"/>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Feldolgozóipari beszerzési menedzserindex</w:t>
            </w:r>
          </w:p>
        </w:tc>
        <w:tc>
          <w:tcPr>
            <w:tcW w:w="735" w:type="pct"/>
            <w:noWrap/>
            <w:vAlign w:val="center"/>
            <w:hideMark/>
          </w:tcPr>
          <w:p w:rsidR="004A0869" w:rsidRDefault="004A0869" w:rsidP="004A0869">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noWrap/>
            <w:vAlign w:val="center"/>
            <w:hideMark/>
          </w:tcPr>
          <w:p w:rsidR="004A0869" w:rsidRPr="004353D3" w:rsidRDefault="004A0869" w:rsidP="004A0869">
            <w:pPr>
              <w:spacing w:after="0" w:line="240" w:lineRule="auto"/>
              <w:jc w:val="center"/>
              <w:rPr>
                <w:rFonts w:eastAsia="Times New Roman" w:cs="Arial"/>
                <w:b/>
                <w:bCs/>
                <w:iCs/>
                <w:color w:val="FF0000"/>
                <w:sz w:val="20"/>
                <w:szCs w:val="20"/>
              </w:rPr>
            </w:pPr>
            <w:r>
              <w:rPr>
                <w:rFonts w:eastAsia="Times New Roman" w:cs="Arial"/>
                <w:b/>
                <w:bCs/>
                <w:iCs/>
                <w:color w:val="008000"/>
                <w:sz w:val="20"/>
                <w:szCs w:val="20"/>
              </w:rPr>
              <w:t>41.7</w:t>
            </w:r>
          </w:p>
        </w:tc>
        <w:tc>
          <w:tcPr>
            <w:tcW w:w="765" w:type="pct"/>
            <w:noWrap/>
            <w:vAlign w:val="center"/>
            <w:hideMark/>
          </w:tcPr>
          <w:p w:rsidR="004A0869" w:rsidRPr="004353D3" w:rsidRDefault="004A0869" w:rsidP="004A0869">
            <w:pPr>
              <w:spacing w:after="0" w:line="240" w:lineRule="auto"/>
              <w:jc w:val="center"/>
              <w:rPr>
                <w:rFonts w:eastAsia="Times New Roman" w:cs="Arial"/>
                <w:b/>
                <w:bCs/>
                <w:iCs/>
                <w:color w:val="404040" w:themeColor="text1" w:themeTint="BF"/>
                <w:sz w:val="20"/>
                <w:szCs w:val="20"/>
              </w:rPr>
            </w:pPr>
            <w:r>
              <w:rPr>
                <w:rFonts w:eastAsia="Times New Roman" w:cs="Arial"/>
                <w:b/>
                <w:bCs/>
                <w:iCs/>
                <w:color w:val="404040" w:themeColor="text1" w:themeTint="BF"/>
                <w:sz w:val="20"/>
                <w:szCs w:val="20"/>
              </w:rPr>
              <w:t>41.4</w:t>
            </w:r>
          </w:p>
        </w:tc>
        <w:tc>
          <w:tcPr>
            <w:tcW w:w="632" w:type="pct"/>
            <w:noWrap/>
            <w:vAlign w:val="center"/>
            <w:hideMark/>
          </w:tcPr>
          <w:p w:rsidR="004A0869" w:rsidRPr="004353D3" w:rsidRDefault="004A0869" w:rsidP="004A0869">
            <w:pPr>
              <w:spacing w:after="0" w:line="240" w:lineRule="auto"/>
              <w:jc w:val="center"/>
              <w:rPr>
                <w:rFonts w:eastAsia="Times New Roman" w:cs="Arial"/>
                <w:b/>
                <w:bCs/>
                <w:iCs/>
                <w:color w:val="404040" w:themeColor="text1" w:themeTint="BF"/>
                <w:sz w:val="20"/>
                <w:szCs w:val="20"/>
              </w:rPr>
            </w:pPr>
            <w:r w:rsidRPr="004353D3">
              <w:rPr>
                <w:rFonts w:eastAsia="Times New Roman" w:cs="Arial"/>
                <w:b/>
                <w:bCs/>
                <w:iCs/>
                <w:color w:val="404040" w:themeColor="text1" w:themeTint="BF"/>
                <w:sz w:val="20"/>
                <w:szCs w:val="20"/>
              </w:rPr>
              <w:t>43</w:t>
            </w:r>
            <w:r>
              <w:rPr>
                <w:rFonts w:eastAsia="Times New Roman" w:cs="Arial"/>
                <w:b/>
                <w:bCs/>
                <w:iCs/>
                <w:color w:val="404040" w:themeColor="text1" w:themeTint="BF"/>
                <w:sz w:val="20"/>
                <w:szCs w:val="20"/>
              </w:rPr>
              <w:t>.5</w:t>
            </w:r>
          </w:p>
        </w:tc>
      </w:tr>
      <w:tr w:rsidR="004A0869" w:rsidTr="004A0869">
        <w:trPr>
          <w:trHeight w:val="624"/>
        </w:trPr>
        <w:tc>
          <w:tcPr>
            <w:tcW w:w="881" w:type="pct"/>
            <w:tcBorders>
              <w:top w:val="nil"/>
              <w:left w:val="nil"/>
              <w:bottom w:val="single" w:sz="4" w:space="0" w:color="D9D9D9" w:themeColor="background1" w:themeShade="D9"/>
              <w:right w:val="nil"/>
            </w:tcBorders>
            <w:noWrap/>
            <w:vAlign w:val="center"/>
            <w:hideMark/>
          </w:tcPr>
          <w:p w:rsidR="004A0869" w:rsidRDefault="004A0869" w:rsidP="004A0869">
            <w:pPr>
              <w:rPr>
                <w:b/>
                <w:color w:val="404040" w:themeColor="text1" w:themeTint="BF"/>
                <w:sz w:val="20"/>
                <w:szCs w:val="20"/>
                <w:lang w:val="en-GB"/>
              </w:rPr>
            </w:pPr>
          </w:p>
        </w:tc>
        <w:tc>
          <w:tcPr>
            <w:tcW w:w="1398"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vertAlign w:val="superscript"/>
              </w:rPr>
            </w:pPr>
            <w:r>
              <w:rPr>
                <w:rFonts w:eastAsia="Times New Roman" w:cs="Calibri"/>
                <w:color w:val="404040" w:themeColor="text1" w:themeTint="BF"/>
                <w:sz w:val="20"/>
                <w:szCs w:val="20"/>
              </w:rPr>
              <w:t>IFO üzleti bizalmi index</w:t>
            </w:r>
            <w:r>
              <w:rPr>
                <w:color w:val="404040" w:themeColor="text1" w:themeTint="BF"/>
                <w:vertAlign w:val="superscript"/>
              </w:rPr>
              <w:t>1</w:t>
            </w:r>
          </w:p>
        </w:tc>
        <w:tc>
          <w:tcPr>
            <w:tcW w:w="735"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Calibri" w:cs="Times New Roman"/>
                <w:b/>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Arial"/>
                <w:b/>
                <w:bCs/>
                <w:iCs/>
                <w:color w:val="008000"/>
                <w:sz w:val="20"/>
                <w:szCs w:val="20"/>
              </w:rPr>
            </w:pPr>
            <w:r w:rsidRPr="00F151E1">
              <w:rPr>
                <w:rFonts w:eastAsia="Times New Roman" w:cs="Arial"/>
                <w:b/>
                <w:bCs/>
                <w:iCs/>
                <w:color w:val="008000"/>
                <w:sz w:val="20"/>
                <w:szCs w:val="20"/>
              </w:rPr>
              <w:t>94.6</w:t>
            </w:r>
          </w:p>
        </w:tc>
        <w:tc>
          <w:tcPr>
            <w:tcW w:w="765"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b/>
                <w:color w:val="404040" w:themeColor="text1" w:themeTint="BF"/>
                <w:sz w:val="20"/>
                <w:szCs w:val="20"/>
              </w:rPr>
            </w:pPr>
            <w:r>
              <w:rPr>
                <w:b/>
                <w:color w:val="404040" w:themeColor="text1" w:themeTint="BF"/>
                <w:sz w:val="20"/>
                <w:szCs w:val="20"/>
              </w:rPr>
              <w:t>90.8</w:t>
            </w:r>
          </w:p>
        </w:tc>
        <w:tc>
          <w:tcPr>
            <w:tcW w:w="632"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b/>
                <w:color w:val="404040" w:themeColor="text1" w:themeTint="BF"/>
                <w:sz w:val="20"/>
                <w:szCs w:val="20"/>
              </w:rPr>
            </w:pPr>
            <w:r w:rsidRPr="00F151E1">
              <w:rPr>
                <w:rFonts w:eastAsia="Times New Roman" w:cs="Arial"/>
                <w:b/>
                <w:bCs/>
                <w:iCs/>
                <w:color w:val="FF0000"/>
                <w:sz w:val="20"/>
                <w:szCs w:val="20"/>
              </w:rPr>
              <w:t>94.3</w:t>
            </w:r>
          </w:p>
        </w:tc>
      </w:tr>
      <w:tr w:rsidR="004A0869" w:rsidTr="004A0869">
        <w:trPr>
          <w:trHeight w:val="624"/>
        </w:trPr>
        <w:tc>
          <w:tcPr>
            <w:tcW w:w="881"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rPr>
            </w:pPr>
            <w:r>
              <w:rPr>
                <w:rFonts w:eastAsia="Times New Roman" w:cs="Calibri"/>
                <w:color w:val="404040" w:themeColor="text1" w:themeTint="BF"/>
              </w:rPr>
              <w:t>Franciaország</w:t>
            </w:r>
          </w:p>
        </w:tc>
        <w:tc>
          <w:tcPr>
            <w:tcW w:w="1398"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vertAlign w:val="superscript"/>
              </w:rPr>
            </w:pPr>
            <w:r>
              <w:rPr>
                <w:rFonts w:eastAsia="Times New Roman" w:cs="Calibri"/>
                <w:color w:val="404040" w:themeColor="text1" w:themeTint="BF"/>
                <w:sz w:val="20"/>
                <w:szCs w:val="20"/>
              </w:rPr>
              <w:t>INSEE üzleti bizalmi index</w:t>
            </w:r>
            <w:r>
              <w:rPr>
                <w:color w:val="404040" w:themeColor="text1" w:themeTint="BF"/>
                <w:vertAlign w:val="superscript"/>
              </w:rPr>
              <w:t>2</w:t>
            </w:r>
          </w:p>
        </w:tc>
        <w:tc>
          <w:tcPr>
            <w:tcW w:w="735"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Calibri" w:cs="Times New Roman"/>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Arial"/>
                <w:b/>
                <w:bCs/>
                <w:iCs/>
                <w:color w:val="FF0000"/>
                <w:sz w:val="20"/>
                <w:szCs w:val="20"/>
              </w:rPr>
            </w:pPr>
            <w:r>
              <w:rPr>
                <w:rFonts w:eastAsia="Times New Roman" w:cs="Arial"/>
                <w:b/>
                <w:bCs/>
                <w:iCs/>
                <w:color w:val="404040" w:themeColor="text1" w:themeTint="BF"/>
                <w:sz w:val="20"/>
                <w:szCs w:val="20"/>
              </w:rPr>
              <w:t>106.2</w:t>
            </w:r>
          </w:p>
        </w:tc>
        <w:tc>
          <w:tcPr>
            <w:tcW w:w="765" w:type="pct"/>
            <w:tcBorders>
              <w:top w:val="nil"/>
              <w:left w:val="nil"/>
              <w:bottom w:val="single" w:sz="4" w:space="0" w:color="D9D9D9" w:themeColor="background1" w:themeShade="D9"/>
              <w:right w:val="nil"/>
            </w:tcBorders>
            <w:noWrap/>
            <w:vAlign w:val="center"/>
          </w:tcPr>
          <w:p w:rsidR="004A0869" w:rsidRDefault="004A0869" w:rsidP="004A0869">
            <w:pPr>
              <w:spacing w:after="0" w:line="240" w:lineRule="auto"/>
              <w:jc w:val="center"/>
              <w:rPr>
                <w:b/>
                <w:color w:val="404040" w:themeColor="text1" w:themeTint="BF"/>
                <w:sz w:val="20"/>
                <w:szCs w:val="20"/>
              </w:rPr>
            </w:pPr>
          </w:p>
        </w:tc>
        <w:tc>
          <w:tcPr>
            <w:tcW w:w="632" w:type="pct"/>
            <w:tcBorders>
              <w:top w:val="nil"/>
              <w:left w:val="nil"/>
              <w:bottom w:val="single" w:sz="4" w:space="0" w:color="D9D9D9" w:themeColor="background1" w:themeShade="D9"/>
              <w:right w:val="nil"/>
            </w:tcBorders>
            <w:noWrap/>
            <w:vAlign w:val="center"/>
            <w:hideMark/>
          </w:tcPr>
          <w:p w:rsidR="004A0869" w:rsidRDefault="004A0869" w:rsidP="004A0869">
            <w:pPr>
              <w:spacing w:after="0" w:line="240" w:lineRule="auto"/>
              <w:jc w:val="center"/>
              <w:rPr>
                <w:rFonts w:eastAsia="Times New Roman" w:cs="Calibri"/>
                <w:b/>
                <w:color w:val="404040" w:themeColor="text1" w:themeTint="BF"/>
                <w:sz w:val="20"/>
                <w:szCs w:val="20"/>
              </w:rPr>
            </w:pPr>
            <w:r w:rsidRPr="00211EA9">
              <w:rPr>
                <w:rFonts w:eastAsia="Times New Roman" w:cs="Calibri"/>
                <w:b/>
                <w:color w:val="404040" w:themeColor="text1" w:themeTint="BF"/>
                <w:sz w:val="20"/>
                <w:szCs w:val="20"/>
              </w:rPr>
              <w:t>10</w:t>
            </w:r>
            <w:r>
              <w:rPr>
                <w:rFonts w:eastAsia="Times New Roman" w:cs="Calibri"/>
                <w:b/>
                <w:color w:val="404040" w:themeColor="text1" w:themeTint="BF"/>
                <w:sz w:val="20"/>
                <w:szCs w:val="20"/>
              </w:rPr>
              <w:t>5</w:t>
            </w:r>
          </w:p>
        </w:tc>
      </w:tr>
      <w:tr w:rsidR="004A0869" w:rsidRPr="006B4DD9" w:rsidTr="004A0869">
        <w:trPr>
          <w:trHeight w:val="624"/>
        </w:trPr>
        <w:tc>
          <w:tcPr>
            <w:tcW w:w="881" w:type="pct"/>
            <w:tcBorders>
              <w:top w:val="single" w:sz="4" w:space="0" w:color="D9D9D9" w:themeColor="background1" w:themeShade="D9"/>
              <w:left w:val="nil"/>
              <w:bottom w:val="nil"/>
              <w:right w:val="nil"/>
            </w:tcBorders>
            <w:noWrap/>
            <w:vAlign w:val="center"/>
            <w:hideMark/>
          </w:tcPr>
          <w:p w:rsidR="004A0869" w:rsidRDefault="004A0869" w:rsidP="004A0869">
            <w:pPr>
              <w:rPr>
                <w:rFonts w:eastAsia="Times New Roman" w:cs="Calibri"/>
                <w:b/>
                <w:color w:val="404040" w:themeColor="text1" w:themeTint="BF"/>
                <w:sz w:val="20"/>
                <w:szCs w:val="20"/>
                <w:lang w:val="en-GB"/>
              </w:rPr>
            </w:pPr>
          </w:p>
        </w:tc>
        <w:tc>
          <w:tcPr>
            <w:tcW w:w="1398" w:type="pct"/>
            <w:tcBorders>
              <w:top w:val="single" w:sz="4" w:space="0" w:color="D9D9D9" w:themeColor="background1" w:themeShade="D9"/>
              <w:left w:val="nil"/>
              <w:bottom w:val="nil"/>
              <w:right w:val="nil"/>
            </w:tcBorders>
            <w:noWrap/>
            <w:vAlign w:val="center"/>
            <w:hideMark/>
          </w:tcPr>
          <w:p w:rsidR="004A0869" w:rsidRPr="006B4DD9" w:rsidRDefault="004A0869" w:rsidP="004A0869">
            <w:pPr>
              <w:spacing w:after="0" w:line="240" w:lineRule="auto"/>
              <w:jc w:val="center"/>
              <w:rPr>
                <w:rFonts w:eastAsia="Times New Roman" w:cs="Calibri"/>
                <w:color w:val="404040" w:themeColor="text1" w:themeTint="BF"/>
                <w:sz w:val="20"/>
                <w:szCs w:val="20"/>
              </w:rPr>
            </w:pPr>
            <w:r w:rsidRPr="006B4DD9">
              <w:rPr>
                <w:rFonts w:eastAsia="Times New Roman" w:cs="Calibri"/>
                <w:color w:val="404040" w:themeColor="text1" w:themeTint="BF"/>
                <w:sz w:val="20"/>
                <w:szCs w:val="20"/>
              </w:rPr>
              <w:t>Munkanélküliségi ráta</w:t>
            </w:r>
          </w:p>
        </w:tc>
        <w:tc>
          <w:tcPr>
            <w:tcW w:w="735" w:type="pct"/>
            <w:tcBorders>
              <w:top w:val="single" w:sz="4" w:space="0" w:color="D9D9D9" w:themeColor="background1" w:themeShade="D9"/>
              <w:left w:val="nil"/>
              <w:bottom w:val="nil"/>
              <w:right w:val="nil"/>
            </w:tcBorders>
            <w:noWrap/>
            <w:vAlign w:val="center"/>
            <w:hideMark/>
          </w:tcPr>
          <w:p w:rsidR="004A0869" w:rsidRPr="006B4DD9" w:rsidRDefault="004A0869" w:rsidP="004A0869">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tcBorders>
              <w:top w:val="single" w:sz="4" w:space="0" w:color="D9D9D9" w:themeColor="background1" w:themeShade="D9"/>
              <w:left w:val="nil"/>
              <w:bottom w:val="nil"/>
              <w:right w:val="nil"/>
            </w:tcBorders>
            <w:noWrap/>
            <w:vAlign w:val="center"/>
            <w:hideMark/>
          </w:tcPr>
          <w:p w:rsidR="004A0869" w:rsidRPr="00B81B86" w:rsidRDefault="004A0869" w:rsidP="004A0869">
            <w:pPr>
              <w:spacing w:after="0" w:line="240" w:lineRule="auto"/>
              <w:jc w:val="center"/>
              <w:rPr>
                <w:rFonts w:eastAsia="Times New Roman" w:cs="Arial"/>
                <w:b/>
                <w:bCs/>
                <w:iCs/>
                <w:color w:val="B2A1C7" w:themeColor="accent4" w:themeTint="99"/>
                <w:sz w:val="20"/>
                <w:szCs w:val="20"/>
              </w:rPr>
            </w:pPr>
            <w:r w:rsidRPr="005D0D19">
              <w:rPr>
                <w:rFonts w:eastAsia="Times New Roman" w:cs="Arial"/>
                <w:b/>
                <w:bCs/>
                <w:iCs/>
                <w:color w:val="008000"/>
                <w:sz w:val="20"/>
                <w:szCs w:val="20"/>
              </w:rPr>
              <w:t>3.5%</w:t>
            </w:r>
          </w:p>
        </w:tc>
        <w:tc>
          <w:tcPr>
            <w:tcW w:w="765" w:type="pct"/>
            <w:tcBorders>
              <w:top w:val="single" w:sz="4" w:space="0" w:color="D9D9D9" w:themeColor="background1" w:themeShade="D9"/>
              <w:left w:val="nil"/>
              <w:bottom w:val="nil"/>
              <w:right w:val="nil"/>
            </w:tcBorders>
            <w:noWrap/>
            <w:vAlign w:val="center"/>
            <w:hideMark/>
          </w:tcPr>
          <w:p w:rsidR="004A0869" w:rsidRPr="005D0D19" w:rsidRDefault="004A0869" w:rsidP="004A0869">
            <w:pPr>
              <w:spacing w:after="0" w:line="240" w:lineRule="auto"/>
              <w:jc w:val="center"/>
              <w:rPr>
                <w:b/>
                <w:sz w:val="20"/>
                <w:szCs w:val="20"/>
              </w:rPr>
            </w:pPr>
            <w:r w:rsidRPr="005D0D19">
              <w:rPr>
                <w:b/>
                <w:sz w:val="20"/>
                <w:szCs w:val="20"/>
              </w:rPr>
              <w:t>3.7%</w:t>
            </w:r>
          </w:p>
        </w:tc>
        <w:tc>
          <w:tcPr>
            <w:tcW w:w="632" w:type="pct"/>
            <w:tcBorders>
              <w:top w:val="single" w:sz="4" w:space="0" w:color="D9D9D9" w:themeColor="background1" w:themeShade="D9"/>
              <w:left w:val="nil"/>
              <w:bottom w:val="nil"/>
              <w:right w:val="nil"/>
            </w:tcBorders>
            <w:noWrap/>
            <w:vAlign w:val="center"/>
            <w:hideMark/>
          </w:tcPr>
          <w:p w:rsidR="004A0869" w:rsidRPr="005D0D19" w:rsidRDefault="004A0869" w:rsidP="004A0869">
            <w:pPr>
              <w:spacing w:after="0" w:line="240" w:lineRule="auto"/>
              <w:jc w:val="center"/>
              <w:rPr>
                <w:b/>
                <w:sz w:val="20"/>
                <w:szCs w:val="20"/>
              </w:rPr>
            </w:pPr>
            <w:r w:rsidRPr="005D0D19">
              <w:rPr>
                <w:b/>
                <w:sz w:val="20"/>
                <w:szCs w:val="20"/>
              </w:rPr>
              <w:t>3.7%</w:t>
            </w:r>
          </w:p>
        </w:tc>
      </w:tr>
      <w:tr w:rsidR="004A0869" w:rsidTr="004A0869">
        <w:trPr>
          <w:trHeight w:val="624"/>
        </w:trPr>
        <w:tc>
          <w:tcPr>
            <w:tcW w:w="881" w:type="pct"/>
            <w:noWrap/>
            <w:vAlign w:val="center"/>
            <w:hideMark/>
          </w:tcPr>
          <w:p w:rsidR="004A0869" w:rsidRDefault="004A0869" w:rsidP="004A0869">
            <w:pPr>
              <w:spacing w:after="0" w:line="240" w:lineRule="auto"/>
              <w:jc w:val="center"/>
              <w:rPr>
                <w:rFonts w:eastAsia="Times New Roman" w:cs="Calibri"/>
                <w:color w:val="404040" w:themeColor="text1" w:themeTint="BF"/>
              </w:rPr>
            </w:pPr>
            <w:r>
              <w:rPr>
                <w:rFonts w:eastAsia="Times New Roman" w:cs="Calibri"/>
                <w:color w:val="404040" w:themeColor="text1" w:themeTint="BF"/>
              </w:rPr>
              <w:t>USA</w:t>
            </w:r>
          </w:p>
        </w:tc>
        <w:tc>
          <w:tcPr>
            <w:tcW w:w="1398" w:type="pct"/>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CB fogyasztói bizalmi index</w:t>
            </w:r>
          </w:p>
        </w:tc>
        <w:tc>
          <w:tcPr>
            <w:tcW w:w="735" w:type="pct"/>
            <w:noWrap/>
            <w:vAlign w:val="center"/>
            <w:hideMark/>
          </w:tcPr>
          <w:p w:rsidR="004A0869" w:rsidRDefault="004A0869" w:rsidP="004A0869">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noWrap/>
            <w:vAlign w:val="center"/>
            <w:hideMark/>
          </w:tcPr>
          <w:p w:rsidR="004A0869" w:rsidRPr="008C27F0" w:rsidRDefault="004A0869" w:rsidP="004A0869">
            <w:pPr>
              <w:spacing w:after="0" w:line="240" w:lineRule="auto"/>
              <w:jc w:val="center"/>
              <w:rPr>
                <w:rFonts w:eastAsia="Times New Roman" w:cs="Arial"/>
                <w:b/>
                <w:bCs/>
                <w:iCs/>
                <w:color w:val="008000"/>
                <w:sz w:val="20"/>
                <w:szCs w:val="20"/>
              </w:rPr>
            </w:pPr>
            <w:r w:rsidRPr="00EF21CF">
              <w:rPr>
                <w:rFonts w:eastAsia="Times New Roman" w:cs="Arial"/>
                <w:b/>
                <w:bCs/>
                <w:iCs/>
                <w:color w:val="FF0000"/>
                <w:sz w:val="20"/>
                <w:szCs w:val="20"/>
              </w:rPr>
              <w:t>125.1</w:t>
            </w:r>
          </w:p>
        </w:tc>
        <w:tc>
          <w:tcPr>
            <w:tcW w:w="765" w:type="pct"/>
            <w:noWrap/>
            <w:vAlign w:val="center"/>
            <w:hideMark/>
          </w:tcPr>
          <w:p w:rsidR="004A0869" w:rsidRPr="008C27F0" w:rsidRDefault="004A0869" w:rsidP="004A0869">
            <w:pPr>
              <w:spacing w:after="0" w:line="240" w:lineRule="auto"/>
              <w:jc w:val="center"/>
              <w:rPr>
                <w:b/>
                <w:color w:val="404040" w:themeColor="text1" w:themeTint="BF"/>
                <w:sz w:val="20"/>
                <w:szCs w:val="20"/>
              </w:rPr>
            </w:pPr>
            <w:r>
              <w:rPr>
                <w:b/>
                <w:color w:val="404040" w:themeColor="text1" w:themeTint="BF"/>
                <w:sz w:val="20"/>
                <w:szCs w:val="20"/>
              </w:rPr>
              <w:t>134.1</w:t>
            </w:r>
          </w:p>
        </w:tc>
        <w:tc>
          <w:tcPr>
            <w:tcW w:w="632" w:type="pct"/>
            <w:noWrap/>
            <w:vAlign w:val="center"/>
            <w:hideMark/>
          </w:tcPr>
          <w:p w:rsidR="004A0869" w:rsidRPr="008C27F0" w:rsidRDefault="004A0869" w:rsidP="004A0869">
            <w:pPr>
              <w:spacing w:after="0" w:line="240" w:lineRule="auto"/>
              <w:jc w:val="center"/>
              <w:rPr>
                <w:b/>
                <w:color w:val="404040" w:themeColor="text1" w:themeTint="BF"/>
                <w:sz w:val="20"/>
                <w:szCs w:val="20"/>
              </w:rPr>
            </w:pPr>
            <w:r w:rsidRPr="00EF21CF">
              <w:rPr>
                <w:rFonts w:eastAsia="Times New Roman" w:cs="Arial"/>
                <w:b/>
                <w:bCs/>
                <w:iCs/>
                <w:color w:val="FF0000"/>
                <w:sz w:val="20"/>
                <w:szCs w:val="20"/>
              </w:rPr>
              <w:t>134.2</w:t>
            </w:r>
          </w:p>
        </w:tc>
      </w:tr>
      <w:tr w:rsidR="004A0869" w:rsidTr="004A0869">
        <w:trPr>
          <w:trHeight w:val="624"/>
        </w:trPr>
        <w:tc>
          <w:tcPr>
            <w:tcW w:w="881" w:type="pct"/>
            <w:tcBorders>
              <w:top w:val="nil"/>
              <w:left w:val="nil"/>
              <w:bottom w:val="single" w:sz="4" w:space="0" w:color="BFBFBF" w:themeColor="background1" w:themeShade="BF"/>
              <w:right w:val="nil"/>
            </w:tcBorders>
            <w:noWrap/>
            <w:vAlign w:val="center"/>
            <w:hideMark/>
          </w:tcPr>
          <w:p w:rsidR="004A0869" w:rsidRDefault="004A0869" w:rsidP="004A0869">
            <w:pPr>
              <w:rPr>
                <w:b/>
                <w:color w:val="404040" w:themeColor="text1" w:themeTint="BF"/>
                <w:sz w:val="20"/>
                <w:szCs w:val="20"/>
                <w:lang w:val="en-GB"/>
              </w:rPr>
            </w:pPr>
          </w:p>
        </w:tc>
        <w:tc>
          <w:tcPr>
            <w:tcW w:w="1398" w:type="pct"/>
            <w:tcBorders>
              <w:top w:val="nil"/>
              <w:left w:val="nil"/>
              <w:bottom w:val="single" w:sz="4" w:space="0" w:color="BFBFBF" w:themeColor="background1" w:themeShade="BF"/>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Feldolgozóipari beszerzési menedzserindex</w:t>
            </w:r>
          </w:p>
        </w:tc>
        <w:tc>
          <w:tcPr>
            <w:tcW w:w="735" w:type="pct"/>
            <w:tcBorders>
              <w:top w:val="nil"/>
              <w:left w:val="nil"/>
              <w:bottom w:val="single" w:sz="4" w:space="0" w:color="BFBFBF" w:themeColor="background1" w:themeShade="BF"/>
              <w:right w:val="nil"/>
            </w:tcBorders>
            <w:noWrap/>
            <w:vAlign w:val="center"/>
            <w:hideMark/>
          </w:tcPr>
          <w:p w:rsidR="004A0869" w:rsidRDefault="004A0869" w:rsidP="004A0869">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noWrap/>
            <w:vAlign w:val="center"/>
            <w:hideMark/>
          </w:tcPr>
          <w:p w:rsidR="004A0869" w:rsidRPr="00F7744F" w:rsidRDefault="004A0869" w:rsidP="004A0869">
            <w:pPr>
              <w:spacing w:after="0" w:line="240" w:lineRule="auto"/>
              <w:jc w:val="center"/>
            </w:pPr>
            <w:r w:rsidRPr="004353D3">
              <w:rPr>
                <w:rFonts w:eastAsia="Times New Roman" w:cs="Arial"/>
                <w:b/>
                <w:bCs/>
                <w:iCs/>
                <w:color w:val="008000"/>
                <w:sz w:val="20"/>
                <w:szCs w:val="20"/>
              </w:rPr>
              <w:t>5</w:t>
            </w:r>
            <w:r>
              <w:rPr>
                <w:rFonts w:eastAsia="Times New Roman" w:cs="Arial"/>
                <w:b/>
                <w:bCs/>
                <w:iCs/>
                <w:color w:val="008000"/>
                <w:sz w:val="20"/>
                <w:szCs w:val="20"/>
              </w:rPr>
              <w:t>1.1</w:t>
            </w:r>
          </w:p>
        </w:tc>
        <w:tc>
          <w:tcPr>
            <w:tcW w:w="765" w:type="pct"/>
            <w:noWrap/>
            <w:vAlign w:val="center"/>
            <w:hideMark/>
          </w:tcPr>
          <w:p w:rsidR="004A0869" w:rsidRPr="004353D3" w:rsidRDefault="004A0869" w:rsidP="004A0869">
            <w:pPr>
              <w:spacing w:after="0" w:line="240" w:lineRule="auto"/>
              <w:jc w:val="center"/>
              <w:rPr>
                <w:b/>
                <w:color w:val="404040" w:themeColor="text1" w:themeTint="BF"/>
                <w:sz w:val="20"/>
                <w:szCs w:val="20"/>
              </w:rPr>
            </w:pPr>
            <w:r>
              <w:rPr>
                <w:b/>
                <w:color w:val="404040" w:themeColor="text1" w:themeTint="BF"/>
                <w:sz w:val="20"/>
                <w:szCs w:val="20"/>
              </w:rPr>
              <w:t>51.0</w:t>
            </w:r>
          </w:p>
        </w:tc>
        <w:tc>
          <w:tcPr>
            <w:tcW w:w="632" w:type="pct"/>
            <w:noWrap/>
            <w:vAlign w:val="center"/>
            <w:hideMark/>
          </w:tcPr>
          <w:p w:rsidR="004A0869" w:rsidRPr="004353D3" w:rsidRDefault="004A0869" w:rsidP="004A0869">
            <w:pPr>
              <w:spacing w:after="0" w:line="240" w:lineRule="auto"/>
              <w:jc w:val="center"/>
              <w:rPr>
                <w:b/>
                <w:color w:val="404040" w:themeColor="text1" w:themeTint="BF"/>
                <w:sz w:val="20"/>
                <w:szCs w:val="20"/>
              </w:rPr>
            </w:pPr>
            <w:r>
              <w:rPr>
                <w:b/>
                <w:color w:val="404040" w:themeColor="text1" w:themeTint="BF"/>
                <w:sz w:val="20"/>
                <w:szCs w:val="20"/>
              </w:rPr>
              <w:t>50.3</w:t>
            </w:r>
          </w:p>
        </w:tc>
      </w:tr>
      <w:tr w:rsidR="004A0869" w:rsidTr="004A0869">
        <w:trPr>
          <w:trHeight w:val="624"/>
        </w:trPr>
        <w:tc>
          <w:tcPr>
            <w:tcW w:w="881" w:type="pct"/>
            <w:tcBorders>
              <w:top w:val="single" w:sz="4" w:space="0" w:color="BFBFBF" w:themeColor="background1" w:themeShade="BF"/>
              <w:left w:val="nil"/>
              <w:bottom w:val="single" w:sz="4" w:space="0" w:color="auto"/>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rPr>
            </w:pPr>
            <w:r>
              <w:rPr>
                <w:rFonts w:eastAsia="Times New Roman" w:cs="Calibri"/>
                <w:color w:val="404040" w:themeColor="text1" w:themeTint="BF"/>
              </w:rPr>
              <w:t>Kína</w:t>
            </w:r>
          </w:p>
        </w:tc>
        <w:tc>
          <w:tcPr>
            <w:tcW w:w="1398" w:type="pct"/>
            <w:tcBorders>
              <w:top w:val="single" w:sz="4" w:space="0" w:color="BFBFBF" w:themeColor="background1" w:themeShade="BF"/>
              <w:left w:val="nil"/>
              <w:bottom w:val="single" w:sz="4" w:space="0" w:color="auto"/>
              <w:right w:val="nil"/>
            </w:tcBorders>
            <w:noWrap/>
            <w:vAlign w:val="center"/>
            <w:hideMark/>
          </w:tcPr>
          <w:p w:rsidR="004A0869" w:rsidRDefault="004A0869" w:rsidP="004A0869">
            <w:pPr>
              <w:spacing w:after="0" w:line="240" w:lineRule="auto"/>
              <w:jc w:val="center"/>
              <w:rPr>
                <w:rFonts w:eastAsia="Times New Roman" w:cs="Calibri"/>
                <w:color w:val="404040" w:themeColor="text1" w:themeTint="BF"/>
                <w:sz w:val="20"/>
                <w:szCs w:val="20"/>
              </w:rPr>
            </w:pPr>
            <w:r>
              <w:rPr>
                <w:rFonts w:eastAsia="Times New Roman" w:cs="Calibri"/>
                <w:color w:val="404040" w:themeColor="text1" w:themeTint="BF"/>
                <w:sz w:val="20"/>
                <w:szCs w:val="20"/>
              </w:rPr>
              <w:t>Feldolgozóipari beszerzési menedzserindex</w:t>
            </w:r>
          </w:p>
        </w:tc>
        <w:tc>
          <w:tcPr>
            <w:tcW w:w="735" w:type="pct"/>
            <w:tcBorders>
              <w:top w:val="single" w:sz="4" w:space="0" w:color="BFBFBF" w:themeColor="background1" w:themeShade="BF"/>
              <w:left w:val="nil"/>
              <w:bottom w:val="single" w:sz="4" w:space="0" w:color="auto"/>
              <w:right w:val="nil"/>
            </w:tcBorders>
            <w:noWrap/>
            <w:vAlign w:val="center"/>
            <w:hideMark/>
          </w:tcPr>
          <w:p w:rsidR="004A0869" w:rsidRDefault="004A0869" w:rsidP="004A0869">
            <w:pPr>
              <w:spacing w:after="0" w:line="240" w:lineRule="auto"/>
              <w:jc w:val="center"/>
              <w:rPr>
                <w:rFonts w:eastAsia="Times New Roman" w:cs="Calibri"/>
                <w:color w:val="404040"/>
                <w:sz w:val="20"/>
                <w:szCs w:val="20"/>
                <w:lang w:val="en-US"/>
              </w:rPr>
            </w:pPr>
            <w:r w:rsidRPr="00164C8A">
              <w:rPr>
                <w:rFonts w:eastAsia="Times New Roman" w:cs="Calibri"/>
                <w:color w:val="404040"/>
                <w:sz w:val="20"/>
                <w:szCs w:val="20"/>
              </w:rPr>
              <w:t>(</w:t>
            </w:r>
            <w:r>
              <w:rPr>
                <w:rFonts w:eastAsia="Times New Roman" w:cs="Calibri"/>
                <w:color w:val="404040"/>
                <w:sz w:val="20"/>
                <w:szCs w:val="20"/>
              </w:rPr>
              <w:t>Szept</w:t>
            </w:r>
            <w:r w:rsidRPr="00164C8A">
              <w:rPr>
                <w:rFonts w:eastAsia="Times New Roman" w:cs="Calibri"/>
                <w:color w:val="404040"/>
                <w:sz w:val="20"/>
                <w:szCs w:val="20"/>
              </w:rPr>
              <w:t>)</w:t>
            </w:r>
          </w:p>
        </w:tc>
        <w:tc>
          <w:tcPr>
            <w:tcW w:w="588" w:type="pct"/>
            <w:tcBorders>
              <w:top w:val="single" w:sz="4" w:space="0" w:color="BFBFBF" w:themeColor="background1" w:themeShade="BF"/>
              <w:left w:val="nil"/>
              <w:bottom w:val="single" w:sz="4" w:space="0" w:color="auto"/>
              <w:right w:val="nil"/>
            </w:tcBorders>
            <w:noWrap/>
            <w:vAlign w:val="center"/>
            <w:hideMark/>
          </w:tcPr>
          <w:p w:rsidR="004A0869" w:rsidRPr="004353D3" w:rsidRDefault="004A0869" w:rsidP="004A0869">
            <w:pPr>
              <w:spacing w:after="0" w:line="240" w:lineRule="auto"/>
              <w:jc w:val="center"/>
              <w:rPr>
                <w:rFonts w:eastAsia="Times New Roman" w:cs="Arial"/>
                <w:b/>
                <w:bCs/>
                <w:iCs/>
                <w:color w:val="FF0000"/>
                <w:sz w:val="20"/>
                <w:szCs w:val="20"/>
              </w:rPr>
            </w:pPr>
            <w:r w:rsidRPr="005D0D19">
              <w:rPr>
                <w:rFonts w:eastAsia="Times New Roman" w:cs="Arial"/>
                <w:b/>
                <w:bCs/>
                <w:iCs/>
                <w:color w:val="008000"/>
                <w:sz w:val="20"/>
                <w:szCs w:val="20"/>
              </w:rPr>
              <w:t>49.8</w:t>
            </w:r>
          </w:p>
        </w:tc>
        <w:tc>
          <w:tcPr>
            <w:tcW w:w="765" w:type="pct"/>
            <w:tcBorders>
              <w:top w:val="single" w:sz="4" w:space="0" w:color="BFBFBF" w:themeColor="background1" w:themeShade="BF"/>
              <w:left w:val="nil"/>
              <w:bottom w:val="single" w:sz="4" w:space="0" w:color="auto"/>
              <w:right w:val="nil"/>
            </w:tcBorders>
            <w:noWrap/>
            <w:vAlign w:val="center"/>
            <w:hideMark/>
          </w:tcPr>
          <w:p w:rsidR="004A0869" w:rsidRPr="004353D3" w:rsidRDefault="004A0869" w:rsidP="004A0869">
            <w:pPr>
              <w:spacing w:after="0" w:line="240" w:lineRule="auto"/>
              <w:jc w:val="center"/>
              <w:rPr>
                <w:rFonts w:eastAsia="Times New Roman" w:cs="Arial"/>
                <w:b/>
                <w:bCs/>
                <w:iCs/>
                <w:color w:val="404040" w:themeColor="text1" w:themeTint="BF"/>
                <w:sz w:val="20"/>
                <w:szCs w:val="20"/>
              </w:rPr>
            </w:pPr>
            <w:r w:rsidRPr="004353D3">
              <w:rPr>
                <w:rFonts w:eastAsia="Times New Roman" w:cs="Arial"/>
                <w:b/>
                <w:bCs/>
                <w:iCs/>
                <w:color w:val="404040" w:themeColor="text1" w:themeTint="BF"/>
                <w:sz w:val="20"/>
                <w:szCs w:val="20"/>
              </w:rPr>
              <w:t>49</w:t>
            </w:r>
            <w:r>
              <w:rPr>
                <w:rFonts w:eastAsia="Times New Roman" w:cs="Arial"/>
                <w:b/>
                <w:bCs/>
                <w:iCs/>
                <w:color w:val="404040" w:themeColor="text1" w:themeTint="BF"/>
                <w:sz w:val="20"/>
                <w:szCs w:val="20"/>
              </w:rPr>
              <w:t>.5</w:t>
            </w:r>
          </w:p>
        </w:tc>
        <w:tc>
          <w:tcPr>
            <w:tcW w:w="632" w:type="pct"/>
            <w:tcBorders>
              <w:top w:val="single" w:sz="4" w:space="0" w:color="BFBFBF" w:themeColor="background1" w:themeShade="BF"/>
              <w:left w:val="nil"/>
              <w:bottom w:val="single" w:sz="4" w:space="0" w:color="auto"/>
              <w:right w:val="nil"/>
            </w:tcBorders>
            <w:noWrap/>
            <w:vAlign w:val="center"/>
            <w:hideMark/>
          </w:tcPr>
          <w:p w:rsidR="004A0869" w:rsidRPr="004353D3" w:rsidRDefault="004A0869" w:rsidP="004A0869">
            <w:pPr>
              <w:spacing w:after="0" w:line="240" w:lineRule="auto"/>
              <w:jc w:val="center"/>
              <w:rPr>
                <w:rFonts w:eastAsia="Times New Roman" w:cs="Arial"/>
                <w:b/>
                <w:bCs/>
                <w:iCs/>
                <w:color w:val="404040" w:themeColor="text1" w:themeTint="BF"/>
                <w:sz w:val="20"/>
                <w:szCs w:val="20"/>
              </w:rPr>
            </w:pPr>
            <w:r w:rsidRPr="004353D3">
              <w:rPr>
                <w:rFonts w:eastAsia="Times New Roman" w:cs="Arial"/>
                <w:b/>
                <w:bCs/>
                <w:iCs/>
                <w:color w:val="404040" w:themeColor="text1" w:themeTint="BF"/>
                <w:sz w:val="20"/>
                <w:szCs w:val="20"/>
              </w:rPr>
              <w:t>49</w:t>
            </w:r>
            <w:r>
              <w:rPr>
                <w:rFonts w:eastAsia="Times New Roman" w:cs="Arial"/>
                <w:b/>
                <w:bCs/>
                <w:iCs/>
                <w:color w:val="404040" w:themeColor="text1" w:themeTint="BF"/>
                <w:sz w:val="20"/>
                <w:szCs w:val="20"/>
              </w:rPr>
              <w:t>.5</w:t>
            </w:r>
          </w:p>
        </w:tc>
      </w:tr>
    </w:tbl>
    <w:p w:rsidR="00160CBC" w:rsidRPr="00003571" w:rsidRDefault="00160CBC" w:rsidP="00160CBC">
      <w:pPr>
        <w:spacing w:before="60" w:after="0"/>
        <w:rPr>
          <w:rFonts w:cs="Arial"/>
          <w:color w:val="0000FF"/>
          <w:sz w:val="20"/>
          <w:szCs w:val="20"/>
          <w:u w:val="single"/>
        </w:rPr>
      </w:pPr>
      <w:r>
        <w:rPr>
          <w:sz w:val="18"/>
          <w:szCs w:val="18"/>
          <w:vertAlign w:val="superscript"/>
        </w:rPr>
        <w:footnoteRef/>
      </w:r>
      <w:r>
        <w:rPr>
          <w:sz w:val="18"/>
          <w:szCs w:val="18"/>
        </w:rPr>
        <w:t xml:space="preserve"> </w:t>
      </w:r>
      <w:hyperlink r:id="rId18" w:history="1">
        <w:r w:rsidRPr="00003571">
          <w:rPr>
            <w:rStyle w:val="Hiperhivatkozs"/>
            <w:rFonts w:ascii="Palatino Linotype" w:hAnsi="Palatino Linotype"/>
            <w:sz w:val="20"/>
            <w:szCs w:val="20"/>
          </w:rPr>
          <w:t>https://www.cesifo-group.de/ifoHome/facts/Survey-Results/Business-Climate/</w:t>
        </w:r>
      </w:hyperlink>
      <w:r w:rsidRPr="00003571">
        <w:rPr>
          <w:rFonts w:cs="Arial"/>
          <w:color w:val="0000FF"/>
          <w:sz w:val="20"/>
          <w:szCs w:val="20"/>
          <w:u w:val="single"/>
        </w:rPr>
        <w:t xml:space="preserve"> </w:t>
      </w:r>
    </w:p>
    <w:p w:rsidR="00160CBC" w:rsidRPr="00003571" w:rsidRDefault="00160CBC" w:rsidP="00160CBC">
      <w:pPr>
        <w:spacing w:before="60" w:after="0"/>
        <w:rPr>
          <w:sz w:val="20"/>
          <w:szCs w:val="20"/>
        </w:rPr>
      </w:pPr>
      <w:r w:rsidRPr="00003571">
        <w:rPr>
          <w:sz w:val="20"/>
          <w:szCs w:val="20"/>
          <w:vertAlign w:val="superscript"/>
        </w:rPr>
        <w:t xml:space="preserve">2 </w:t>
      </w:r>
      <w:hyperlink r:id="rId19" w:history="1">
        <w:r w:rsidRPr="00003571">
          <w:rPr>
            <w:rStyle w:val="Hiperhivatkozs"/>
            <w:rFonts w:ascii="Palatino Linotype" w:hAnsi="Palatino Linotype"/>
            <w:sz w:val="20"/>
            <w:szCs w:val="20"/>
          </w:rPr>
          <w:t>http://www.insee.fr/en/themes/indicateur.asp?id=105</w:t>
        </w:r>
      </w:hyperlink>
      <w:r w:rsidRPr="00003571">
        <w:rPr>
          <w:sz w:val="20"/>
          <w:szCs w:val="20"/>
        </w:rPr>
        <w:t xml:space="preserve"> </w:t>
      </w:r>
    </w:p>
    <w:p w:rsidR="00160CBC" w:rsidRPr="00003571" w:rsidRDefault="00160CBC" w:rsidP="00160CBC">
      <w:pPr>
        <w:rPr>
          <w:sz w:val="20"/>
          <w:szCs w:val="20"/>
        </w:rPr>
      </w:pPr>
      <w:r w:rsidRPr="00003571">
        <w:rPr>
          <w:color w:val="404040" w:themeColor="text1" w:themeTint="BF"/>
          <w:sz w:val="20"/>
          <w:szCs w:val="20"/>
        </w:rPr>
        <w:t xml:space="preserve">A többi adat forrása: </w:t>
      </w:r>
      <w:hyperlink r:id="rId20" w:history="1">
        <w:r w:rsidRPr="00003571">
          <w:rPr>
            <w:rStyle w:val="Hiperhivatkozs"/>
            <w:rFonts w:ascii="Palatino Linotype" w:hAnsi="Palatino Linotype"/>
            <w:sz w:val="20"/>
            <w:szCs w:val="20"/>
          </w:rPr>
          <w:t>http://worldeconomiccalendar.com</w:t>
        </w:r>
      </w:hyperlink>
      <w:r w:rsidRPr="00003571">
        <w:rPr>
          <w:sz w:val="20"/>
          <w:szCs w:val="20"/>
        </w:rPr>
        <w:t xml:space="preserve"> </w:t>
      </w:r>
    </w:p>
    <w:p w:rsidR="00160CBC" w:rsidRDefault="00160CBC" w:rsidP="00160CBC">
      <w:pPr>
        <w:spacing w:after="0"/>
        <w:rPr>
          <w:rFonts w:eastAsiaTheme="majorEastAsia" w:cs="Arial"/>
          <w:bCs/>
          <w:color w:val="404040" w:themeColor="text1" w:themeTint="BF"/>
        </w:rPr>
        <w:sectPr w:rsidR="00160CBC" w:rsidSect="00EF28D6">
          <w:type w:val="continuous"/>
          <w:pgSz w:w="11906" w:h="16838"/>
          <w:pgMar w:top="1134" w:right="1134" w:bottom="1276" w:left="1134" w:header="709" w:footer="709" w:gutter="0"/>
          <w:cols w:space="708"/>
        </w:sectPr>
      </w:pPr>
    </w:p>
    <w:p w:rsidR="00160CBC" w:rsidRPr="00EA7ED4" w:rsidRDefault="00160CBC" w:rsidP="00EA7ED4">
      <w:pPr>
        <w:jc w:val="both"/>
        <w:rPr>
          <w:rFonts w:eastAsiaTheme="majorEastAsia" w:cs="Arial"/>
          <w:bCs/>
          <w:color w:val="404040" w:themeColor="text1" w:themeTint="BF"/>
        </w:rPr>
      </w:pPr>
      <w:r w:rsidRPr="00EA7ED4">
        <w:rPr>
          <w:rFonts w:eastAsiaTheme="majorEastAsia" w:cs="Arial"/>
          <w:bCs/>
          <w:color w:val="404040" w:themeColor="text1" w:themeTint="BF"/>
        </w:rPr>
        <w:t>Németországban a</w:t>
      </w:r>
      <w:r w:rsidR="008C27F0">
        <w:rPr>
          <w:rFonts w:eastAsiaTheme="majorEastAsia" w:cs="Arial"/>
          <w:bCs/>
          <w:color w:val="404040" w:themeColor="text1" w:themeTint="BF"/>
        </w:rPr>
        <w:t>z</w:t>
      </w:r>
      <w:r w:rsidRPr="00EA7ED4">
        <w:rPr>
          <w:rFonts w:eastAsiaTheme="majorEastAsia" w:cs="Arial"/>
          <w:bCs/>
          <w:color w:val="404040" w:themeColor="text1" w:themeTint="BF"/>
        </w:rPr>
        <w:t xml:space="preserve"> </w:t>
      </w:r>
      <w:r w:rsidR="008B6DAA">
        <w:rPr>
          <w:rFonts w:eastAsiaTheme="majorEastAsia" w:cs="Arial"/>
          <w:bCs/>
          <w:color w:val="404040" w:themeColor="text1" w:themeTint="BF"/>
        </w:rPr>
        <w:t>IFO üzleti bizalmi index értéke majdhogynem változatlan maradt, a várakozásoknál azonban jobban teljesített</w:t>
      </w:r>
      <w:r w:rsidR="008C27F0" w:rsidRPr="00EA7ED4">
        <w:rPr>
          <w:rFonts w:eastAsiaTheme="majorEastAsia" w:cs="Arial"/>
          <w:bCs/>
          <w:color w:val="404040" w:themeColor="text1" w:themeTint="BF"/>
        </w:rPr>
        <w:t xml:space="preserve"> </w:t>
      </w:r>
      <w:r w:rsidR="008C27F0">
        <w:rPr>
          <w:rFonts w:eastAsiaTheme="majorEastAsia" w:cs="Arial"/>
          <w:bCs/>
          <w:color w:val="404040" w:themeColor="text1" w:themeTint="BF"/>
        </w:rPr>
        <w:t xml:space="preserve">A munkanélküliek aránya a várakozásoknak megfelelően stagnál. </w:t>
      </w:r>
      <w:r w:rsidR="00833E62">
        <w:rPr>
          <w:rFonts w:eastAsiaTheme="majorEastAsia" w:cs="Arial"/>
          <w:bCs/>
          <w:color w:val="404040" w:themeColor="text1" w:themeTint="BF"/>
        </w:rPr>
        <w:t xml:space="preserve">A </w:t>
      </w:r>
      <w:r w:rsidR="00833E62" w:rsidRPr="00EA7ED4">
        <w:rPr>
          <w:rFonts w:eastAsiaTheme="majorEastAsia" w:cs="Arial"/>
          <w:bCs/>
          <w:color w:val="404040" w:themeColor="text1" w:themeTint="BF"/>
        </w:rPr>
        <w:t>feldolgozóipari beszerzési menedzserindex (PMI) értéke</w:t>
      </w:r>
      <w:r w:rsidR="008C27F0">
        <w:rPr>
          <w:rFonts w:eastAsiaTheme="majorEastAsia" w:cs="Arial"/>
          <w:bCs/>
          <w:color w:val="404040" w:themeColor="text1" w:themeTint="BF"/>
        </w:rPr>
        <w:t xml:space="preserve"> </w:t>
      </w:r>
      <w:r w:rsidR="008B6DAA">
        <w:rPr>
          <w:rFonts w:eastAsiaTheme="majorEastAsia" w:cs="Arial"/>
          <w:bCs/>
          <w:color w:val="404040" w:themeColor="text1" w:themeTint="BF"/>
        </w:rPr>
        <w:t>augusztushoz</w:t>
      </w:r>
      <w:r w:rsidR="008C27F0">
        <w:rPr>
          <w:rFonts w:eastAsiaTheme="majorEastAsia" w:cs="Arial"/>
          <w:bCs/>
          <w:color w:val="404040" w:themeColor="text1" w:themeTint="BF"/>
        </w:rPr>
        <w:t xml:space="preserve"> </w:t>
      </w:r>
      <w:r w:rsidR="00833E62" w:rsidRPr="00EA7ED4">
        <w:rPr>
          <w:rFonts w:eastAsiaTheme="majorEastAsia" w:cs="Arial"/>
          <w:bCs/>
          <w:color w:val="404040" w:themeColor="text1" w:themeTint="BF"/>
        </w:rPr>
        <w:t xml:space="preserve">képest </w:t>
      </w:r>
      <w:r w:rsidR="008B6DAA">
        <w:rPr>
          <w:rFonts w:eastAsiaTheme="majorEastAsia" w:cs="Arial"/>
          <w:bCs/>
          <w:color w:val="404040" w:themeColor="text1" w:themeTint="BF"/>
        </w:rPr>
        <w:t>minimális növekedés mutatott</w:t>
      </w:r>
      <w:r w:rsidR="00833E62" w:rsidRPr="00EA7ED4">
        <w:rPr>
          <w:rFonts w:eastAsiaTheme="majorEastAsia" w:cs="Arial"/>
          <w:bCs/>
          <w:color w:val="404040" w:themeColor="text1" w:themeTint="BF"/>
        </w:rPr>
        <w:t xml:space="preserve">, </w:t>
      </w:r>
      <w:r w:rsidR="008B6DAA">
        <w:rPr>
          <w:rFonts w:eastAsiaTheme="majorEastAsia" w:cs="Arial"/>
          <w:bCs/>
          <w:color w:val="404040" w:themeColor="text1" w:themeTint="BF"/>
        </w:rPr>
        <w:t>de magasabb</w:t>
      </w:r>
      <w:r w:rsidR="00833E62">
        <w:rPr>
          <w:rFonts w:eastAsiaTheme="majorEastAsia" w:cs="Arial"/>
          <w:bCs/>
          <w:color w:val="404040" w:themeColor="text1" w:themeTint="BF"/>
        </w:rPr>
        <w:t>, mint a</w:t>
      </w:r>
      <w:r w:rsidR="00833E62" w:rsidRPr="00EA7ED4">
        <w:rPr>
          <w:rFonts w:eastAsiaTheme="majorEastAsia" w:cs="Arial"/>
          <w:bCs/>
          <w:color w:val="404040" w:themeColor="text1" w:themeTint="BF"/>
        </w:rPr>
        <w:t xml:space="preserve"> várakozás</w:t>
      </w:r>
      <w:r w:rsidR="00833E62">
        <w:rPr>
          <w:rFonts w:eastAsiaTheme="majorEastAsia" w:cs="Arial"/>
          <w:bCs/>
          <w:color w:val="404040" w:themeColor="text1" w:themeTint="BF"/>
        </w:rPr>
        <w:t>.</w:t>
      </w:r>
      <w:r w:rsidR="007835A6">
        <w:rPr>
          <w:rFonts w:eastAsiaTheme="majorEastAsia" w:cs="Arial"/>
          <w:bCs/>
          <w:color w:val="404040" w:themeColor="text1" w:themeTint="BF"/>
        </w:rPr>
        <w:t xml:space="preserve"> </w:t>
      </w:r>
      <w:r w:rsidRPr="00EA7ED4">
        <w:rPr>
          <w:rFonts w:eastAsiaTheme="majorEastAsia" w:cs="Arial"/>
          <w:bCs/>
          <w:color w:val="404040" w:themeColor="text1" w:themeTint="BF"/>
        </w:rPr>
        <w:t>A franciaországi INSEE üzleti bizalmi index</w:t>
      </w:r>
      <w:r w:rsidR="008C27F0">
        <w:rPr>
          <w:rFonts w:eastAsiaTheme="majorEastAsia" w:cs="Arial"/>
          <w:bCs/>
          <w:color w:val="404040" w:themeColor="text1" w:themeTint="BF"/>
        </w:rPr>
        <w:t xml:space="preserve"> értéke </w:t>
      </w:r>
      <w:r w:rsidR="008B6DAA">
        <w:rPr>
          <w:rFonts w:eastAsiaTheme="majorEastAsia" w:cs="Arial"/>
          <w:bCs/>
          <w:color w:val="404040" w:themeColor="text1" w:themeTint="BF"/>
        </w:rPr>
        <w:t>javult augusztushoz képest</w:t>
      </w:r>
      <w:r w:rsidR="008C27F0">
        <w:rPr>
          <w:rFonts w:eastAsiaTheme="majorEastAsia" w:cs="Arial"/>
          <w:bCs/>
          <w:color w:val="404040" w:themeColor="text1" w:themeTint="BF"/>
        </w:rPr>
        <w:t xml:space="preserve">. </w:t>
      </w:r>
      <w:r w:rsidRPr="00EA7ED4">
        <w:rPr>
          <w:rFonts w:eastAsiaTheme="majorEastAsia" w:cs="Arial"/>
          <w:bCs/>
          <w:color w:val="404040" w:themeColor="text1" w:themeTint="BF"/>
        </w:rPr>
        <w:t xml:space="preserve">Az Egyesült Államokban a CB fogyasztói bizalmi index értéke az előző hónapban tapasztalt értékhez képest </w:t>
      </w:r>
      <w:r w:rsidR="00DF78B1">
        <w:rPr>
          <w:rFonts w:eastAsiaTheme="majorEastAsia" w:cs="Arial"/>
          <w:bCs/>
          <w:color w:val="404040" w:themeColor="text1" w:themeTint="BF"/>
        </w:rPr>
        <w:t>jelentősen csökkent</w:t>
      </w:r>
      <w:r w:rsidRPr="00EA7ED4">
        <w:rPr>
          <w:rFonts w:eastAsiaTheme="majorEastAsia" w:cs="Arial"/>
          <w:bCs/>
          <w:color w:val="404040" w:themeColor="text1" w:themeTint="BF"/>
        </w:rPr>
        <w:t xml:space="preserve">, és </w:t>
      </w:r>
      <w:r w:rsidR="00DF78B1">
        <w:rPr>
          <w:rFonts w:eastAsiaTheme="majorEastAsia" w:cs="Arial"/>
          <w:bCs/>
          <w:color w:val="404040" w:themeColor="text1" w:themeTint="BF"/>
        </w:rPr>
        <w:t>alulmúlta a várakozásokat</w:t>
      </w:r>
      <w:r w:rsidRPr="00EA7ED4">
        <w:rPr>
          <w:rFonts w:eastAsiaTheme="majorEastAsia" w:cs="Arial"/>
          <w:bCs/>
          <w:color w:val="404040" w:themeColor="text1" w:themeTint="BF"/>
        </w:rPr>
        <w:t xml:space="preserve">. A feldolgozóipari beszerzési menedzserindex értéke </w:t>
      </w:r>
      <w:r w:rsidR="004A3A8E">
        <w:rPr>
          <w:rFonts w:eastAsiaTheme="majorEastAsia" w:cs="Arial"/>
          <w:bCs/>
          <w:color w:val="404040" w:themeColor="text1" w:themeTint="BF"/>
        </w:rPr>
        <w:t xml:space="preserve">kismértékű </w:t>
      </w:r>
      <w:r w:rsidR="008C27F0">
        <w:rPr>
          <w:rFonts w:eastAsiaTheme="majorEastAsia" w:cs="Arial"/>
          <w:bCs/>
          <w:color w:val="404040" w:themeColor="text1" w:themeTint="BF"/>
        </w:rPr>
        <w:t>növekedést mutat</w:t>
      </w:r>
      <w:r w:rsidRPr="00EA7ED4">
        <w:rPr>
          <w:rFonts w:eastAsiaTheme="majorEastAsia" w:cs="Arial"/>
          <w:bCs/>
          <w:color w:val="404040" w:themeColor="text1" w:themeTint="BF"/>
        </w:rPr>
        <w:t xml:space="preserve">. </w:t>
      </w:r>
      <w:r w:rsidRPr="00733BF9">
        <w:rPr>
          <w:rFonts w:eastAsiaTheme="majorEastAsia" w:cs="Arial"/>
          <w:bCs/>
          <w:color w:val="404040" w:themeColor="text1" w:themeTint="BF"/>
        </w:rPr>
        <w:t>A munkanélküliek aránya</w:t>
      </w:r>
      <w:r w:rsidR="009019CA">
        <w:rPr>
          <w:rFonts w:eastAsiaTheme="majorEastAsia" w:cs="Arial"/>
          <w:bCs/>
          <w:color w:val="404040" w:themeColor="text1" w:themeTint="BF"/>
        </w:rPr>
        <w:t xml:space="preserve"> </w:t>
      </w:r>
      <w:r w:rsidR="00D247E3">
        <w:rPr>
          <w:rFonts w:eastAsiaTheme="majorEastAsia" w:cs="Arial"/>
          <w:bCs/>
          <w:color w:val="404040" w:themeColor="text1" w:themeTint="BF"/>
        </w:rPr>
        <w:t xml:space="preserve">csökkent </w:t>
      </w:r>
      <w:r w:rsidR="004A3A8E">
        <w:rPr>
          <w:rFonts w:eastAsiaTheme="majorEastAsia" w:cs="Arial"/>
          <w:bCs/>
          <w:color w:val="404040" w:themeColor="text1" w:themeTint="BF"/>
        </w:rPr>
        <w:t>és a várakozásoknál jobban alakult</w:t>
      </w:r>
      <w:r w:rsidR="009019CA">
        <w:rPr>
          <w:rFonts w:eastAsiaTheme="majorEastAsia" w:cs="Arial"/>
          <w:bCs/>
          <w:color w:val="404040" w:themeColor="text1" w:themeTint="BF"/>
        </w:rPr>
        <w:t>.</w:t>
      </w:r>
      <w:r w:rsidRPr="00EA7ED4">
        <w:rPr>
          <w:rFonts w:eastAsiaTheme="majorEastAsia" w:cs="Arial"/>
          <w:bCs/>
          <w:color w:val="404040" w:themeColor="text1" w:themeTint="BF"/>
        </w:rPr>
        <w:t xml:space="preserve"> A kínai beszerzési index </w:t>
      </w:r>
      <w:r w:rsidR="000C3E51">
        <w:rPr>
          <w:rFonts w:eastAsiaTheme="majorEastAsia" w:cs="Arial"/>
          <w:bCs/>
          <w:color w:val="404040" w:themeColor="text1" w:themeTint="BF"/>
        </w:rPr>
        <w:t xml:space="preserve">alig növekedett </w:t>
      </w:r>
      <w:r w:rsidR="008C27F0">
        <w:rPr>
          <w:rFonts w:eastAsiaTheme="majorEastAsia" w:cs="Arial"/>
          <w:bCs/>
          <w:color w:val="404040" w:themeColor="text1" w:themeTint="BF"/>
        </w:rPr>
        <w:t>az előző havi</w:t>
      </w:r>
      <w:r w:rsidRPr="00EA7ED4">
        <w:rPr>
          <w:rFonts w:eastAsiaTheme="majorEastAsia" w:cs="Arial"/>
          <w:bCs/>
          <w:color w:val="404040" w:themeColor="text1" w:themeTint="BF"/>
        </w:rPr>
        <w:t xml:space="preserve"> adatokhoz képest, </w:t>
      </w:r>
      <w:r w:rsidR="00A04E06">
        <w:rPr>
          <w:rFonts w:eastAsiaTheme="majorEastAsia" w:cs="Arial"/>
          <w:bCs/>
          <w:color w:val="404040" w:themeColor="text1" w:themeTint="BF"/>
        </w:rPr>
        <w:t xml:space="preserve">de </w:t>
      </w:r>
      <w:r w:rsidR="000C3E51">
        <w:rPr>
          <w:rFonts w:eastAsiaTheme="majorEastAsia" w:cs="Arial"/>
          <w:bCs/>
          <w:color w:val="404040" w:themeColor="text1" w:themeTint="BF"/>
        </w:rPr>
        <w:t>a várakozásoknak megfelelően alakult.</w:t>
      </w:r>
    </w:p>
    <w:p w:rsidR="00160CBC" w:rsidRDefault="00160CBC" w:rsidP="00160CBC">
      <w:pPr>
        <w:rPr>
          <w:rFonts w:eastAsiaTheme="majorEastAsia" w:cs="Arial"/>
          <w:bCs/>
          <w:color w:val="404040" w:themeColor="text1" w:themeTint="BF"/>
        </w:rPr>
      </w:pPr>
      <w:r>
        <w:rPr>
          <w:rFonts w:eastAsiaTheme="majorEastAsia" w:cs="Arial"/>
          <w:bCs/>
          <w:color w:val="404040" w:themeColor="text1" w:themeTint="BF"/>
        </w:rPr>
        <w:br w:type="page"/>
      </w:r>
    </w:p>
    <w:p w:rsidR="00160CBC" w:rsidRDefault="00160CBC" w:rsidP="00160CBC">
      <w:pPr>
        <w:spacing w:after="0"/>
        <w:rPr>
          <w:rFonts w:eastAsiaTheme="majorEastAsia" w:cs="Arial"/>
          <w:bCs/>
          <w:color w:val="404040" w:themeColor="text1" w:themeTint="BF"/>
        </w:rPr>
        <w:sectPr w:rsidR="00160CBC">
          <w:type w:val="continuous"/>
          <w:pgSz w:w="11906" w:h="16838"/>
          <w:pgMar w:top="1134" w:right="1134" w:bottom="1276" w:left="1134" w:header="709" w:footer="709" w:gutter="0"/>
          <w:cols w:space="708"/>
        </w:sectPr>
      </w:pPr>
    </w:p>
    <w:p w:rsidR="00160CBC" w:rsidRDefault="00160CBC" w:rsidP="00160CBC">
      <w:pPr>
        <w:jc w:val="both"/>
        <w:rPr>
          <w:b/>
          <w:color w:val="404040" w:themeColor="text1" w:themeTint="BF"/>
        </w:rPr>
      </w:pPr>
      <w:r>
        <w:rPr>
          <w:b/>
          <w:color w:val="404040" w:themeColor="text1" w:themeTint="BF"/>
        </w:rPr>
        <w:lastRenderedPageBreak/>
        <w:t>Üzleti bizalmi indexek alakulása hosszú távon</w:t>
      </w:r>
    </w:p>
    <w:p w:rsidR="00160CBC" w:rsidRDefault="008C5B5B" w:rsidP="00160CBC">
      <w:pPr>
        <w:spacing w:after="0"/>
        <w:jc w:val="center"/>
        <w:rPr>
          <w:sz w:val="18"/>
          <w:szCs w:val="18"/>
        </w:rPr>
      </w:pPr>
      <w:r>
        <w:rPr>
          <w:noProof/>
          <w:sz w:val="18"/>
          <w:szCs w:val="18"/>
          <w:lang w:eastAsia="hu-HU"/>
        </w:rPr>
        <w:drawing>
          <wp:inline distT="0" distB="0" distL="0" distR="0">
            <wp:extent cx="5867400" cy="3548029"/>
            <wp:effectExtent l="0" t="0" r="0" b="0"/>
            <wp:docPr id="4"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srcRect/>
                    <a:stretch>
                      <a:fillRect/>
                    </a:stretch>
                  </pic:blipFill>
                  <pic:spPr bwMode="auto">
                    <a:xfrm>
                      <a:off x="0" y="0"/>
                      <a:ext cx="5870632" cy="3549984"/>
                    </a:xfrm>
                    <a:prstGeom prst="rect">
                      <a:avLst/>
                    </a:prstGeom>
                    <a:noFill/>
                  </pic:spPr>
                </pic:pic>
              </a:graphicData>
            </a:graphic>
          </wp:inline>
        </w:drawing>
      </w:r>
    </w:p>
    <w:p w:rsidR="00160CBC" w:rsidRDefault="00160CBC" w:rsidP="00160CBC">
      <w:pPr>
        <w:spacing w:after="0"/>
        <w:jc w:val="center"/>
        <w:rPr>
          <w:sz w:val="18"/>
          <w:szCs w:val="18"/>
        </w:rPr>
      </w:pPr>
    </w:p>
    <w:p w:rsidR="00160CBC" w:rsidRDefault="00160CBC" w:rsidP="00160CBC">
      <w:pPr>
        <w:pBdr>
          <w:bottom w:val="single" w:sz="4" w:space="1" w:color="808080" w:themeColor="background1" w:themeShade="80"/>
        </w:pBdr>
        <w:spacing w:after="0"/>
        <w:jc w:val="center"/>
        <w:rPr>
          <w:sz w:val="18"/>
          <w:szCs w:val="18"/>
        </w:rPr>
      </w:pPr>
    </w:p>
    <w:p w:rsidR="00160CBC" w:rsidRDefault="00160CBC" w:rsidP="00160CBC">
      <w:pPr>
        <w:spacing w:after="0" w:line="240" w:lineRule="auto"/>
        <w:jc w:val="both"/>
        <w:rPr>
          <w:rFonts w:eastAsia="Times New Roman" w:cs="Arial"/>
          <w:b/>
          <w:bCs/>
          <w:iCs/>
          <w:color w:val="008000"/>
          <w:sz w:val="20"/>
          <w:szCs w:val="20"/>
          <w:lang w:eastAsia="hu-HU"/>
        </w:rPr>
      </w:pPr>
      <w:r>
        <w:rPr>
          <w:rFonts w:eastAsia="Times New Roman" w:cs="Arial"/>
          <w:b/>
          <w:bCs/>
          <w:iCs/>
          <w:color w:val="008000"/>
          <w:sz w:val="20"/>
          <w:szCs w:val="20"/>
          <w:lang w:eastAsia="hu-HU"/>
        </w:rPr>
        <w:t>Kapcsolat</w:t>
      </w: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Cím: MKIK GVI</w:t>
      </w: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1054 Budapest, Szabadság tér 7.</w:t>
      </w: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Tel: 235-05-84</w:t>
      </w:r>
    </w:p>
    <w:p w:rsidR="00160CBC" w:rsidRPr="00E9795B" w:rsidRDefault="00160CBC" w:rsidP="00160CBC">
      <w:pPr>
        <w:pStyle w:val="cmoldalalcm"/>
        <w:jc w:val="left"/>
        <w:rPr>
          <w:rFonts w:ascii="Palatino Linotype" w:hAnsi="Palatino Linotype"/>
          <w:i w:val="0"/>
          <w:iCs w:val="0"/>
          <w:color w:val="404040" w:themeColor="text1" w:themeTint="BF"/>
          <w:sz w:val="20"/>
          <w:szCs w:val="20"/>
        </w:rPr>
      </w:pPr>
      <w:r w:rsidRPr="00E9795B">
        <w:rPr>
          <w:rFonts w:ascii="Palatino Linotype" w:hAnsi="Palatino Linotype"/>
          <w:i w:val="0"/>
          <w:iCs w:val="0"/>
          <w:color w:val="404040" w:themeColor="text1" w:themeTint="BF"/>
          <w:sz w:val="20"/>
          <w:szCs w:val="20"/>
        </w:rPr>
        <w:t xml:space="preserve">e-mail: </w:t>
      </w:r>
      <w:hyperlink r:id="rId22" w:history="1">
        <w:r w:rsidRPr="00E9795B">
          <w:rPr>
            <w:rStyle w:val="Hiperhivatkozs"/>
            <w:rFonts w:ascii="Palatino Linotype" w:hAnsi="Palatino Linotype"/>
            <w:i w:val="0"/>
            <w:iCs w:val="0"/>
            <w:sz w:val="20"/>
            <w:szCs w:val="20"/>
          </w:rPr>
          <w:t>gvi@gvi.hu</w:t>
        </w:r>
      </w:hyperlink>
    </w:p>
    <w:p w:rsidR="00160CBC" w:rsidRPr="00E9795B" w:rsidRDefault="00160CBC" w:rsidP="00160CBC">
      <w:pPr>
        <w:pStyle w:val="cmoldalalcm"/>
        <w:jc w:val="left"/>
        <w:rPr>
          <w:rFonts w:ascii="Palatino Linotype" w:hAnsi="Palatino Linotype"/>
          <w:i w:val="0"/>
          <w:sz w:val="20"/>
          <w:szCs w:val="20"/>
        </w:rPr>
      </w:pPr>
      <w:r w:rsidRPr="00E9795B">
        <w:rPr>
          <w:rFonts w:ascii="Palatino Linotype" w:hAnsi="Palatino Linotype"/>
          <w:i w:val="0"/>
          <w:iCs w:val="0"/>
          <w:color w:val="404040" w:themeColor="text1" w:themeTint="BF"/>
          <w:sz w:val="20"/>
          <w:szCs w:val="20"/>
        </w:rPr>
        <w:t xml:space="preserve">Internet: </w:t>
      </w:r>
      <w:hyperlink r:id="rId23" w:history="1">
        <w:r w:rsidRPr="00E9795B">
          <w:rPr>
            <w:rStyle w:val="Hiperhivatkozs"/>
            <w:rFonts w:ascii="Palatino Linotype" w:hAnsi="Palatino Linotype"/>
            <w:i w:val="0"/>
            <w:iCs w:val="0"/>
            <w:sz w:val="20"/>
            <w:szCs w:val="20"/>
          </w:rPr>
          <w:t>http://www.gvi.hu</w:t>
        </w:r>
      </w:hyperlink>
    </w:p>
    <w:p w:rsidR="00160CBC" w:rsidRDefault="00160CBC" w:rsidP="00160CBC">
      <w:pPr>
        <w:pStyle w:val="cmoldalalcm"/>
        <w:jc w:val="left"/>
        <w:rPr>
          <w:rFonts w:ascii="Palatino Linotype" w:hAnsi="Palatino Linotype"/>
          <w:iCs w:val="0"/>
          <w:color w:val="0000FF"/>
          <w:sz w:val="20"/>
          <w:szCs w:val="20"/>
          <w:u w:val="single"/>
        </w:rPr>
      </w:pP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Készítette:</w:t>
      </w:r>
    </w:p>
    <w:p w:rsidR="008C27F0" w:rsidRDefault="00ED7492" w:rsidP="00ED7492">
      <w:pPr>
        <w:pStyle w:val="cmoldalalcm"/>
        <w:ind w:left="708" w:firstLine="708"/>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Csányi Veronika</w:t>
      </w:r>
      <w:r w:rsidR="00160CBC">
        <w:rPr>
          <w:rFonts w:ascii="Palatino Linotype" w:hAnsi="Palatino Linotype"/>
          <w:i w:val="0"/>
          <w:iCs w:val="0"/>
          <w:color w:val="404040" w:themeColor="text1" w:themeTint="BF"/>
          <w:sz w:val="20"/>
          <w:szCs w:val="20"/>
        </w:rPr>
        <w:t>, elemző, MKIK GVI</w:t>
      </w:r>
    </w:p>
    <w:p w:rsidR="004059FB" w:rsidRDefault="00F37710" w:rsidP="00160CBC">
      <w:pPr>
        <w:pStyle w:val="cmoldalalcm"/>
        <w:ind w:left="708" w:firstLine="708"/>
        <w:jc w:val="left"/>
        <w:rPr>
          <w:rFonts w:ascii="Palatino Linotype" w:hAnsi="Palatino Linotype"/>
          <w:i w:val="0"/>
          <w:iCs w:val="0"/>
          <w:color w:val="404040" w:themeColor="text1" w:themeTint="BF"/>
          <w:sz w:val="20"/>
          <w:szCs w:val="20"/>
        </w:rPr>
      </w:pPr>
      <w:proofErr w:type="spellStart"/>
      <w:r w:rsidRPr="00F37710">
        <w:rPr>
          <w:rFonts w:ascii="Palatino Linotype" w:hAnsi="Palatino Linotype"/>
          <w:i w:val="0"/>
          <w:iCs w:val="0"/>
          <w:color w:val="404040" w:themeColor="text1" w:themeTint="BF"/>
          <w:sz w:val="20"/>
          <w:szCs w:val="20"/>
        </w:rPr>
        <w:t>Fikadu</w:t>
      </w:r>
      <w:proofErr w:type="spellEnd"/>
      <w:r w:rsidRPr="00F37710">
        <w:rPr>
          <w:rFonts w:ascii="Palatino Linotype" w:hAnsi="Palatino Linotype"/>
          <w:i w:val="0"/>
          <w:iCs w:val="0"/>
          <w:color w:val="404040" w:themeColor="text1" w:themeTint="BF"/>
          <w:sz w:val="20"/>
          <w:szCs w:val="20"/>
        </w:rPr>
        <w:t xml:space="preserve"> T. </w:t>
      </w:r>
      <w:proofErr w:type="spellStart"/>
      <w:r w:rsidRPr="00F37710">
        <w:rPr>
          <w:rFonts w:ascii="Palatino Linotype" w:hAnsi="Palatino Linotype"/>
          <w:i w:val="0"/>
          <w:iCs w:val="0"/>
          <w:color w:val="404040" w:themeColor="text1" w:themeTint="BF"/>
          <w:sz w:val="20"/>
          <w:szCs w:val="20"/>
        </w:rPr>
        <w:t>Ayanie</w:t>
      </w:r>
      <w:proofErr w:type="spellEnd"/>
      <w:r w:rsidR="004059FB" w:rsidRPr="00F37710">
        <w:rPr>
          <w:rFonts w:ascii="Palatino Linotype" w:hAnsi="Palatino Linotype"/>
          <w:i w:val="0"/>
          <w:iCs w:val="0"/>
          <w:color w:val="404040" w:themeColor="text1" w:themeTint="BF"/>
          <w:sz w:val="20"/>
          <w:szCs w:val="20"/>
        </w:rPr>
        <w:t>, gyakornok, MKIK GVI</w:t>
      </w:r>
    </w:p>
    <w:p w:rsidR="00160CBC" w:rsidRDefault="008C27F0" w:rsidP="00160CBC">
      <w:pPr>
        <w:pStyle w:val="cmoldalalcm"/>
        <w:ind w:left="708" w:firstLine="708"/>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Nábelek Fruzsina</w:t>
      </w:r>
      <w:r w:rsidR="00160CBC">
        <w:rPr>
          <w:rFonts w:ascii="Palatino Linotype" w:hAnsi="Palatino Linotype"/>
          <w:i w:val="0"/>
          <w:iCs w:val="0"/>
          <w:color w:val="404040" w:themeColor="text1" w:themeTint="BF"/>
          <w:sz w:val="20"/>
          <w:szCs w:val="20"/>
        </w:rPr>
        <w:t>, elemző, MKIK GVI</w:t>
      </w:r>
    </w:p>
    <w:p w:rsidR="004419D8" w:rsidRDefault="004419D8" w:rsidP="00160CBC">
      <w:pPr>
        <w:pStyle w:val="cmoldalalcm"/>
        <w:jc w:val="left"/>
        <w:rPr>
          <w:rFonts w:ascii="Palatino Linotype" w:hAnsi="Palatino Linotype"/>
          <w:i w:val="0"/>
          <w:iCs w:val="0"/>
          <w:color w:val="404040" w:themeColor="text1" w:themeTint="BF"/>
          <w:sz w:val="20"/>
          <w:szCs w:val="20"/>
        </w:rPr>
      </w:pP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Kutatásvezető:</w:t>
      </w:r>
    </w:p>
    <w:p w:rsidR="0029250B" w:rsidRDefault="00160CBC" w:rsidP="0029250B">
      <w:pPr>
        <w:pStyle w:val="cmoldalalcm"/>
        <w:ind w:left="708" w:firstLine="708"/>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Makó Ágnes</w:t>
      </w:r>
      <w:r w:rsidR="0029250B">
        <w:rPr>
          <w:rFonts w:ascii="Palatino Linotype" w:hAnsi="Palatino Linotype"/>
          <w:i w:val="0"/>
          <w:iCs w:val="0"/>
          <w:color w:val="404040" w:themeColor="text1" w:themeTint="BF"/>
          <w:sz w:val="20"/>
          <w:szCs w:val="20"/>
        </w:rPr>
        <w:t>, PhD</w:t>
      </w:r>
    </w:p>
    <w:p w:rsidR="00160CBC" w:rsidRDefault="00160CBC" w:rsidP="0029250B">
      <w:pPr>
        <w:pStyle w:val="cmoldalalcm"/>
        <w:ind w:left="708" w:firstLine="708"/>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ügyvezető, MKIK GVI</w:t>
      </w:r>
    </w:p>
    <w:p w:rsidR="00160CBC" w:rsidRDefault="00160CBC" w:rsidP="00160CBC">
      <w:pPr>
        <w:pStyle w:val="cmoldalalcm"/>
        <w:jc w:val="left"/>
        <w:rPr>
          <w:rFonts w:ascii="Palatino Linotype" w:hAnsi="Palatino Linotype"/>
          <w:i w:val="0"/>
          <w:iCs w:val="0"/>
          <w:color w:val="404040" w:themeColor="text1" w:themeTint="BF"/>
          <w:sz w:val="20"/>
          <w:szCs w:val="20"/>
        </w:rPr>
      </w:pPr>
    </w:p>
    <w:p w:rsidR="00160CBC" w:rsidRDefault="00160CBC" w:rsidP="00160CBC">
      <w:pPr>
        <w:pStyle w:val="cmoldalalcm"/>
        <w:jc w:val="left"/>
        <w:rPr>
          <w:rFonts w:ascii="Palatino Linotype" w:hAnsi="Palatino Linotype"/>
          <w:i w:val="0"/>
          <w:iCs w:val="0"/>
          <w:color w:val="404040" w:themeColor="text1" w:themeTint="BF"/>
          <w:sz w:val="20"/>
          <w:szCs w:val="20"/>
        </w:rPr>
      </w:pP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Publikáció esetén kérjük, hogy elemzésünkre az alábbiak szerint hivatkozzon:</w:t>
      </w: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MKIK GVI: Gazdasági Havi Tájékoztató,</w:t>
      </w:r>
    </w:p>
    <w:p w:rsidR="00160CBC" w:rsidRDefault="00160CBC" w:rsidP="00160CBC">
      <w:pPr>
        <w:pStyle w:val="cmoldalalcm"/>
        <w:jc w:val="left"/>
        <w:rPr>
          <w:rFonts w:ascii="Palatino Linotype" w:hAnsi="Palatino Linotype"/>
          <w:i w:val="0"/>
          <w:iCs w:val="0"/>
          <w:color w:val="404040" w:themeColor="text1" w:themeTint="BF"/>
          <w:sz w:val="20"/>
          <w:szCs w:val="20"/>
        </w:rPr>
      </w:pPr>
      <w:r>
        <w:rPr>
          <w:rFonts w:ascii="Palatino Linotype" w:hAnsi="Palatino Linotype"/>
          <w:i w:val="0"/>
          <w:iCs w:val="0"/>
          <w:color w:val="404040" w:themeColor="text1" w:themeTint="BF"/>
          <w:sz w:val="20"/>
          <w:szCs w:val="20"/>
        </w:rPr>
        <w:t>201</w:t>
      </w:r>
      <w:r w:rsidR="00593DF6">
        <w:rPr>
          <w:rFonts w:ascii="Palatino Linotype" w:hAnsi="Palatino Linotype"/>
          <w:i w:val="0"/>
          <w:iCs w:val="0"/>
          <w:color w:val="404040" w:themeColor="text1" w:themeTint="BF"/>
          <w:sz w:val="20"/>
          <w:szCs w:val="20"/>
        </w:rPr>
        <w:t>9</w:t>
      </w:r>
      <w:r>
        <w:rPr>
          <w:rFonts w:ascii="Palatino Linotype" w:hAnsi="Palatino Linotype"/>
          <w:i w:val="0"/>
          <w:iCs w:val="0"/>
          <w:color w:val="404040" w:themeColor="text1" w:themeTint="BF"/>
          <w:sz w:val="20"/>
          <w:szCs w:val="20"/>
        </w:rPr>
        <w:t>.</w:t>
      </w:r>
      <w:r w:rsidR="008C27F0">
        <w:rPr>
          <w:rFonts w:ascii="Palatino Linotype" w:hAnsi="Palatino Linotype"/>
          <w:i w:val="0"/>
          <w:iCs w:val="0"/>
          <w:color w:val="404040" w:themeColor="text1" w:themeTint="BF"/>
          <w:sz w:val="20"/>
          <w:szCs w:val="20"/>
        </w:rPr>
        <w:t xml:space="preserve"> </w:t>
      </w:r>
      <w:r w:rsidR="00CB4BF8">
        <w:rPr>
          <w:rFonts w:ascii="Palatino Linotype" w:hAnsi="Palatino Linotype"/>
          <w:i w:val="0"/>
          <w:iCs w:val="0"/>
          <w:color w:val="404040" w:themeColor="text1" w:themeTint="BF"/>
          <w:sz w:val="20"/>
          <w:szCs w:val="20"/>
        </w:rPr>
        <w:t>szeptember</w:t>
      </w:r>
      <w:r>
        <w:rPr>
          <w:rFonts w:ascii="Palatino Linotype" w:hAnsi="Palatino Linotype"/>
          <w:i w:val="0"/>
          <w:iCs w:val="0"/>
          <w:color w:val="404040" w:themeColor="text1" w:themeTint="BF"/>
          <w:sz w:val="20"/>
          <w:szCs w:val="20"/>
        </w:rPr>
        <w:t>, Budapest,</w:t>
      </w:r>
    </w:p>
    <w:p w:rsidR="00160CBC" w:rsidRDefault="00160CBC" w:rsidP="00160CBC">
      <w:pPr>
        <w:pStyle w:val="cmoldalalcm"/>
        <w:jc w:val="left"/>
        <w:rPr>
          <w:rFonts w:ascii="Palatino Linotype" w:hAnsi="Palatino Linotype"/>
          <w:i w:val="0"/>
          <w:color w:val="404040" w:themeColor="text1" w:themeTint="BF"/>
          <w:sz w:val="20"/>
          <w:szCs w:val="20"/>
          <w:u w:val="single"/>
        </w:rPr>
      </w:pPr>
      <w:r>
        <w:rPr>
          <w:rFonts w:ascii="Palatino Linotype" w:hAnsi="Palatino Linotype"/>
          <w:i w:val="0"/>
          <w:iCs w:val="0"/>
          <w:color w:val="404040" w:themeColor="text1" w:themeTint="BF"/>
          <w:sz w:val="20"/>
          <w:szCs w:val="20"/>
        </w:rPr>
        <w:t>201</w:t>
      </w:r>
      <w:r w:rsidR="00593DF6">
        <w:rPr>
          <w:rFonts w:ascii="Palatino Linotype" w:hAnsi="Palatino Linotype"/>
          <w:i w:val="0"/>
          <w:iCs w:val="0"/>
          <w:color w:val="404040" w:themeColor="text1" w:themeTint="BF"/>
          <w:sz w:val="20"/>
          <w:szCs w:val="20"/>
        </w:rPr>
        <w:t>9</w:t>
      </w:r>
      <w:r>
        <w:rPr>
          <w:rFonts w:ascii="Palatino Linotype" w:hAnsi="Palatino Linotype"/>
          <w:i w:val="0"/>
          <w:iCs w:val="0"/>
          <w:color w:val="404040" w:themeColor="text1" w:themeTint="BF"/>
          <w:sz w:val="20"/>
          <w:szCs w:val="20"/>
        </w:rPr>
        <w:t>-</w:t>
      </w:r>
      <w:r w:rsidR="00CB4BF8">
        <w:rPr>
          <w:rFonts w:ascii="Palatino Linotype" w:hAnsi="Palatino Linotype"/>
          <w:i w:val="0"/>
          <w:iCs w:val="0"/>
          <w:color w:val="404040" w:themeColor="text1" w:themeTint="BF"/>
          <w:sz w:val="20"/>
          <w:szCs w:val="20"/>
        </w:rPr>
        <w:t>10</w:t>
      </w:r>
      <w:r w:rsidR="008C27F0">
        <w:rPr>
          <w:rFonts w:ascii="Palatino Linotype" w:hAnsi="Palatino Linotype"/>
          <w:i w:val="0"/>
          <w:iCs w:val="0"/>
          <w:color w:val="404040" w:themeColor="text1" w:themeTint="BF"/>
          <w:sz w:val="20"/>
          <w:szCs w:val="20"/>
        </w:rPr>
        <w:t>-1</w:t>
      </w:r>
      <w:r w:rsidR="00CB4BF8">
        <w:rPr>
          <w:rFonts w:ascii="Palatino Linotype" w:hAnsi="Palatino Linotype"/>
          <w:i w:val="0"/>
          <w:iCs w:val="0"/>
          <w:color w:val="404040" w:themeColor="text1" w:themeTint="BF"/>
          <w:sz w:val="20"/>
          <w:szCs w:val="20"/>
        </w:rPr>
        <w:t>1</w:t>
      </w:r>
    </w:p>
    <w:p w:rsidR="003750D2" w:rsidRPr="003750D2" w:rsidRDefault="003750D2" w:rsidP="00EC2BE9">
      <w:pPr>
        <w:rPr>
          <w:rFonts w:eastAsia="Times New Roman" w:cs="Arial"/>
          <w:color w:val="404040" w:themeColor="text1" w:themeTint="BF"/>
          <w:lang w:eastAsia="ar-SA"/>
        </w:rPr>
      </w:pPr>
    </w:p>
    <w:sectPr w:rsidR="003750D2" w:rsidRPr="003750D2" w:rsidSect="00D31591">
      <w:headerReference w:type="even" r:id="rId24"/>
      <w:headerReference w:type="default" r:id="rId25"/>
      <w:footerReference w:type="default" r:id="rId26"/>
      <w:headerReference w:type="first" r:id="rId27"/>
      <w:type w:val="continuous"/>
      <w:pgSz w:w="11906" w:h="16838"/>
      <w:pgMar w:top="1418" w:right="1418" w:bottom="127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A17" w:rsidRDefault="00B37A17" w:rsidP="00631BC2">
      <w:pPr>
        <w:spacing w:after="0" w:line="240" w:lineRule="auto"/>
      </w:pPr>
      <w:r>
        <w:separator/>
      </w:r>
    </w:p>
  </w:endnote>
  <w:endnote w:type="continuationSeparator" w:id="0">
    <w:p w:rsidR="00B37A17" w:rsidRDefault="00B37A17" w:rsidP="0063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E9F" w:rsidRDefault="00DA5E9F">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E9F" w:rsidRPr="007F04CC" w:rsidRDefault="00DA5E9F" w:rsidP="00DA5E9F">
    <w:pPr>
      <w:pStyle w:val="llb"/>
      <w:tabs>
        <w:tab w:val="clear" w:pos="4536"/>
        <w:tab w:val="right" w:leader="underscore" w:pos="9072"/>
      </w:tabs>
    </w:pPr>
    <w:r>
      <w:tab/>
    </w:r>
  </w:p>
  <w:p w:rsidR="00DA5E9F" w:rsidRPr="005A3BFC" w:rsidRDefault="00DA5E9F" w:rsidP="00DA5E9F">
    <w:pPr>
      <w:pStyle w:val="llb"/>
      <w:tabs>
        <w:tab w:val="clear" w:pos="4536"/>
        <w:tab w:val="center" w:pos="780"/>
      </w:tabs>
      <w:spacing w:before="60"/>
      <w:jc w:val="center"/>
      <w:rPr>
        <w:rFonts w:cs="Arial"/>
        <w:b/>
        <w:color w:val="008000"/>
        <w:sz w:val="16"/>
        <w:szCs w:val="16"/>
      </w:rPr>
    </w:pPr>
    <w:r w:rsidRPr="005A3BFC">
      <w:rPr>
        <w:rFonts w:cs="Arial"/>
        <w:b/>
        <w:color w:val="008000"/>
        <w:sz w:val="16"/>
        <w:szCs w:val="16"/>
      </w:rPr>
      <w:t xml:space="preserve">Gazdaság- és Vállalkozáskutató Nonprofit Kft.; </w:t>
    </w:r>
    <w:r>
      <w:rPr>
        <w:rFonts w:cs="Arial"/>
        <w:b/>
        <w:color w:val="008000"/>
        <w:sz w:val="16"/>
        <w:szCs w:val="16"/>
      </w:rPr>
      <w:t>105</w:t>
    </w:r>
    <w:r w:rsidRPr="005A3BFC">
      <w:rPr>
        <w:rFonts w:cs="Arial"/>
        <w:b/>
        <w:color w:val="008000"/>
        <w:sz w:val="16"/>
        <w:szCs w:val="16"/>
      </w:rPr>
      <w:t xml:space="preserve">4 Budapest, </w:t>
    </w:r>
    <w:r>
      <w:rPr>
        <w:rFonts w:cs="Arial"/>
        <w:b/>
        <w:color w:val="008000"/>
        <w:sz w:val="16"/>
        <w:szCs w:val="16"/>
      </w:rPr>
      <w:t>Szabadság tér 7</w:t>
    </w:r>
    <w:r w:rsidRPr="005A3BFC">
      <w:rPr>
        <w:rFonts w:cs="Arial"/>
        <w:b/>
        <w:color w:val="008000"/>
        <w:sz w:val="16"/>
        <w:szCs w:val="16"/>
      </w:rPr>
      <w:t>.</w:t>
    </w:r>
  </w:p>
  <w:p w:rsidR="00DA5E9F" w:rsidRPr="005A3BFC" w:rsidRDefault="00DA5E9F" w:rsidP="00DA5E9F">
    <w:pPr>
      <w:pStyle w:val="llb"/>
      <w:tabs>
        <w:tab w:val="clear" w:pos="4536"/>
        <w:tab w:val="center" w:pos="780"/>
      </w:tabs>
      <w:jc w:val="center"/>
      <w:rPr>
        <w:rFonts w:cs="Arial"/>
        <w:b/>
        <w:color w:val="008000"/>
        <w:sz w:val="16"/>
        <w:szCs w:val="16"/>
      </w:rPr>
    </w:pPr>
    <w:r>
      <w:rPr>
        <w:rFonts w:cs="Arial"/>
        <w:b/>
        <w:color w:val="008000"/>
        <w:sz w:val="16"/>
        <w:szCs w:val="16"/>
      </w:rPr>
      <w:t>Tel: (1</w:t>
    </w:r>
    <w:proofErr w:type="gramStart"/>
    <w:r>
      <w:rPr>
        <w:rFonts w:cs="Arial"/>
        <w:b/>
        <w:color w:val="008000"/>
        <w:sz w:val="16"/>
        <w:szCs w:val="16"/>
      </w:rPr>
      <w:t>)235-05-84</w:t>
    </w:r>
    <w:proofErr w:type="gramEnd"/>
    <w:r>
      <w:rPr>
        <w:rFonts w:cs="Arial"/>
        <w:b/>
        <w:color w:val="008000"/>
        <w:sz w:val="16"/>
        <w:szCs w:val="16"/>
      </w:rPr>
      <w:t xml:space="preserve">; </w:t>
    </w:r>
    <w:r w:rsidRPr="005A3BFC">
      <w:rPr>
        <w:rFonts w:cs="Arial"/>
        <w:b/>
        <w:color w:val="008000"/>
        <w:sz w:val="16"/>
        <w:szCs w:val="16"/>
      </w:rPr>
      <w:t xml:space="preserve">e-mail: </w:t>
    </w:r>
    <w:hyperlink r:id="rId1" w:history="1">
      <w:r w:rsidRPr="005A3BFC">
        <w:rPr>
          <w:rStyle w:val="Hiperhivatkozs"/>
          <w:rFonts w:ascii="Palatino Linotype" w:hAnsi="Palatino Linotype"/>
          <w:b/>
          <w:color w:val="008000"/>
          <w:sz w:val="16"/>
          <w:szCs w:val="16"/>
        </w:rPr>
        <w:t>gvi@gvi.hu</w:t>
      </w:r>
    </w:hyperlink>
    <w:r>
      <w:rPr>
        <w:rFonts w:cs="Arial"/>
        <w:b/>
        <w:color w:val="008000"/>
        <w:sz w:val="16"/>
        <w:szCs w:val="16"/>
      </w:rPr>
      <w:t>; i</w:t>
    </w:r>
    <w:r w:rsidRPr="005A3BFC">
      <w:rPr>
        <w:rFonts w:cs="Arial"/>
        <w:b/>
        <w:color w:val="008000"/>
        <w:sz w:val="16"/>
        <w:szCs w:val="16"/>
      </w:rPr>
      <w:t xml:space="preserve">nternet: </w:t>
    </w:r>
    <w:hyperlink r:id="rId2" w:history="1">
      <w:r w:rsidRPr="005A3BFC">
        <w:rPr>
          <w:rStyle w:val="Hiperhivatkozs"/>
          <w:rFonts w:ascii="Palatino Linotype" w:hAnsi="Palatino Linotype"/>
          <w:b/>
          <w:color w:val="008000"/>
          <w:sz w:val="16"/>
          <w:szCs w:val="16"/>
        </w:rPr>
        <w:t>www.gvi.hu</w:t>
      </w:r>
    </w:hyperlink>
  </w:p>
  <w:p w:rsidR="00DA5E9F" w:rsidRPr="00DA5E9F" w:rsidRDefault="00DA5E9F" w:rsidP="00DA5E9F">
    <w:pPr>
      <w:pStyle w:val="llb"/>
      <w:tabs>
        <w:tab w:val="clear" w:pos="4536"/>
        <w:tab w:val="center" w:pos="780"/>
      </w:tabs>
      <w:spacing w:before="60"/>
      <w:jc w:val="center"/>
      <w:rPr>
        <w:rFonts w:cs="Arial"/>
        <w:b/>
        <w:color w:val="008000"/>
        <w:sz w:val="16"/>
        <w:szCs w:val="16"/>
      </w:rPr>
    </w:pPr>
    <w:r w:rsidRPr="005A3BFC">
      <w:rPr>
        <w:rStyle w:val="Oldalszm"/>
        <w:rFonts w:cs="Arial"/>
        <w:b/>
        <w:color w:val="008000"/>
        <w:sz w:val="16"/>
        <w:szCs w:val="16"/>
      </w:rPr>
      <w:fldChar w:fldCharType="begin"/>
    </w:r>
    <w:r w:rsidRPr="005A3BFC">
      <w:rPr>
        <w:rStyle w:val="Oldalszm"/>
        <w:rFonts w:cs="Arial"/>
        <w:b/>
        <w:color w:val="008000"/>
        <w:sz w:val="16"/>
        <w:szCs w:val="16"/>
      </w:rPr>
      <w:instrText xml:space="preserve"> PAGE </w:instrText>
    </w:r>
    <w:r w:rsidRPr="005A3BFC">
      <w:rPr>
        <w:rStyle w:val="Oldalszm"/>
        <w:rFonts w:cs="Arial"/>
        <w:b/>
        <w:color w:val="008000"/>
        <w:sz w:val="16"/>
        <w:szCs w:val="16"/>
      </w:rPr>
      <w:fldChar w:fldCharType="separate"/>
    </w:r>
    <w:r>
      <w:rPr>
        <w:rStyle w:val="Oldalszm"/>
        <w:rFonts w:cs="Arial"/>
        <w:b/>
        <w:noProof/>
        <w:color w:val="008000"/>
        <w:sz w:val="16"/>
        <w:szCs w:val="16"/>
      </w:rPr>
      <w:t>12</w:t>
    </w:r>
    <w:r w:rsidRPr="005A3BFC">
      <w:rPr>
        <w:rStyle w:val="Oldalszm"/>
        <w:rFonts w:cs="Arial"/>
        <w:b/>
        <w:color w:val="008000"/>
        <w:sz w:val="16"/>
        <w:szCs w:val="16"/>
      </w:rPr>
      <w:fldChar w:fldCharType="end"/>
    </w:r>
    <w:r w:rsidRPr="005A3BFC">
      <w:rPr>
        <w:rStyle w:val="Oldalszm"/>
        <w:rFonts w:cs="Arial"/>
        <w:b/>
        <w:color w:val="008000"/>
        <w:sz w:val="16"/>
        <w:szCs w:val="16"/>
      </w:rPr>
      <w:t>/</w:t>
    </w:r>
    <w:r w:rsidRPr="005A3BFC">
      <w:rPr>
        <w:rStyle w:val="Oldalszm"/>
        <w:rFonts w:cs="Arial"/>
        <w:b/>
        <w:color w:val="008000"/>
        <w:sz w:val="16"/>
        <w:szCs w:val="16"/>
      </w:rPr>
      <w:fldChar w:fldCharType="begin"/>
    </w:r>
    <w:r w:rsidRPr="005A3BFC">
      <w:rPr>
        <w:rStyle w:val="Oldalszm"/>
        <w:rFonts w:cs="Arial"/>
        <w:b/>
        <w:color w:val="008000"/>
        <w:sz w:val="16"/>
        <w:szCs w:val="16"/>
      </w:rPr>
      <w:instrText xml:space="preserve"> NUMPAGES </w:instrText>
    </w:r>
    <w:r w:rsidRPr="005A3BFC">
      <w:rPr>
        <w:rStyle w:val="Oldalszm"/>
        <w:rFonts w:cs="Arial"/>
        <w:b/>
        <w:color w:val="008000"/>
        <w:sz w:val="16"/>
        <w:szCs w:val="16"/>
      </w:rPr>
      <w:fldChar w:fldCharType="separate"/>
    </w:r>
    <w:r>
      <w:rPr>
        <w:rStyle w:val="Oldalszm"/>
        <w:rFonts w:cs="Arial"/>
        <w:b/>
        <w:noProof/>
        <w:color w:val="008000"/>
        <w:sz w:val="16"/>
        <w:szCs w:val="16"/>
      </w:rPr>
      <w:t>13</w:t>
    </w:r>
    <w:r w:rsidRPr="005A3BFC">
      <w:rPr>
        <w:rStyle w:val="Oldalszm"/>
        <w:rFonts w:cs="Arial"/>
        <w:b/>
        <w:color w:val="008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Pr="007F04CC" w:rsidRDefault="00D31591" w:rsidP="00BF6B67">
    <w:pPr>
      <w:pStyle w:val="llb"/>
      <w:tabs>
        <w:tab w:val="clear" w:pos="4536"/>
        <w:tab w:val="right" w:leader="underscore" w:pos="9072"/>
      </w:tabs>
    </w:pPr>
    <w:r>
      <w:tab/>
    </w:r>
  </w:p>
  <w:p w:rsidR="00D31591" w:rsidRPr="005A3BFC" w:rsidRDefault="00D31591" w:rsidP="00D31591">
    <w:pPr>
      <w:pStyle w:val="llb"/>
      <w:tabs>
        <w:tab w:val="clear" w:pos="4536"/>
        <w:tab w:val="center" w:pos="780"/>
      </w:tabs>
      <w:spacing w:before="60"/>
      <w:jc w:val="center"/>
      <w:rPr>
        <w:rFonts w:cs="Arial"/>
        <w:b/>
        <w:color w:val="008000"/>
        <w:sz w:val="16"/>
        <w:szCs w:val="16"/>
      </w:rPr>
    </w:pPr>
    <w:r w:rsidRPr="005A3BFC">
      <w:rPr>
        <w:rFonts w:cs="Arial"/>
        <w:b/>
        <w:color w:val="008000"/>
        <w:sz w:val="16"/>
        <w:szCs w:val="16"/>
      </w:rPr>
      <w:t xml:space="preserve">Gazdaság- és Vállalkozáskutató Nonprofit Kft.; </w:t>
    </w:r>
    <w:r>
      <w:rPr>
        <w:rFonts w:cs="Arial"/>
        <w:b/>
        <w:color w:val="008000"/>
        <w:sz w:val="16"/>
        <w:szCs w:val="16"/>
      </w:rPr>
      <w:t>105</w:t>
    </w:r>
    <w:r w:rsidRPr="005A3BFC">
      <w:rPr>
        <w:rFonts w:cs="Arial"/>
        <w:b/>
        <w:color w:val="008000"/>
        <w:sz w:val="16"/>
        <w:szCs w:val="16"/>
      </w:rPr>
      <w:t xml:space="preserve">4 Budapest, </w:t>
    </w:r>
    <w:r>
      <w:rPr>
        <w:rFonts w:cs="Arial"/>
        <w:b/>
        <w:color w:val="008000"/>
        <w:sz w:val="16"/>
        <w:szCs w:val="16"/>
      </w:rPr>
      <w:t>Szabadság tér 7</w:t>
    </w:r>
    <w:r w:rsidRPr="005A3BFC">
      <w:rPr>
        <w:rFonts w:cs="Arial"/>
        <w:b/>
        <w:color w:val="008000"/>
        <w:sz w:val="16"/>
        <w:szCs w:val="16"/>
      </w:rPr>
      <w:t>.</w:t>
    </w:r>
  </w:p>
  <w:p w:rsidR="00D31591" w:rsidRPr="005A3BFC" w:rsidRDefault="00D31591" w:rsidP="00D31591">
    <w:pPr>
      <w:pStyle w:val="llb"/>
      <w:tabs>
        <w:tab w:val="clear" w:pos="4536"/>
        <w:tab w:val="center" w:pos="780"/>
      </w:tabs>
      <w:jc w:val="center"/>
      <w:rPr>
        <w:rFonts w:cs="Arial"/>
        <w:b/>
        <w:color w:val="008000"/>
        <w:sz w:val="16"/>
        <w:szCs w:val="16"/>
      </w:rPr>
    </w:pPr>
    <w:r>
      <w:rPr>
        <w:rFonts w:cs="Arial"/>
        <w:b/>
        <w:color w:val="008000"/>
        <w:sz w:val="16"/>
        <w:szCs w:val="16"/>
      </w:rPr>
      <w:t>Tel: (1</w:t>
    </w:r>
    <w:proofErr w:type="gramStart"/>
    <w:r>
      <w:rPr>
        <w:rFonts w:cs="Arial"/>
        <w:b/>
        <w:color w:val="008000"/>
        <w:sz w:val="16"/>
        <w:szCs w:val="16"/>
      </w:rPr>
      <w:t>)235-05-84</w:t>
    </w:r>
    <w:proofErr w:type="gramEnd"/>
    <w:r>
      <w:rPr>
        <w:rFonts w:cs="Arial"/>
        <w:b/>
        <w:color w:val="008000"/>
        <w:sz w:val="16"/>
        <w:szCs w:val="16"/>
      </w:rPr>
      <w:t xml:space="preserve">; </w:t>
    </w:r>
    <w:r w:rsidRPr="005A3BFC">
      <w:rPr>
        <w:rFonts w:cs="Arial"/>
        <w:b/>
        <w:color w:val="008000"/>
        <w:sz w:val="16"/>
        <w:szCs w:val="16"/>
      </w:rPr>
      <w:t xml:space="preserve">e-mail: </w:t>
    </w:r>
    <w:hyperlink r:id="rId1" w:history="1">
      <w:r w:rsidRPr="005A3BFC">
        <w:rPr>
          <w:rStyle w:val="Hiperhivatkozs"/>
          <w:rFonts w:ascii="Palatino Linotype" w:hAnsi="Palatino Linotype"/>
          <w:b/>
          <w:color w:val="008000"/>
          <w:sz w:val="16"/>
          <w:szCs w:val="16"/>
        </w:rPr>
        <w:t>gvi@gvi.hu</w:t>
      </w:r>
    </w:hyperlink>
    <w:r>
      <w:rPr>
        <w:rFonts w:cs="Arial"/>
        <w:b/>
        <w:color w:val="008000"/>
        <w:sz w:val="16"/>
        <w:szCs w:val="16"/>
      </w:rPr>
      <w:t>; i</w:t>
    </w:r>
    <w:r w:rsidRPr="005A3BFC">
      <w:rPr>
        <w:rFonts w:cs="Arial"/>
        <w:b/>
        <w:color w:val="008000"/>
        <w:sz w:val="16"/>
        <w:szCs w:val="16"/>
      </w:rPr>
      <w:t xml:space="preserve">nternet: </w:t>
    </w:r>
    <w:hyperlink r:id="rId2" w:history="1">
      <w:r w:rsidRPr="005A3BFC">
        <w:rPr>
          <w:rStyle w:val="Hiperhivatkozs"/>
          <w:rFonts w:ascii="Palatino Linotype" w:hAnsi="Palatino Linotype"/>
          <w:b/>
          <w:color w:val="008000"/>
          <w:sz w:val="16"/>
          <w:szCs w:val="16"/>
        </w:rPr>
        <w:t>www.gvi.hu</w:t>
      </w:r>
    </w:hyperlink>
  </w:p>
  <w:p w:rsidR="00D31591" w:rsidRPr="00DA5E9F" w:rsidRDefault="001E6FEC" w:rsidP="00DA5E9F">
    <w:pPr>
      <w:pStyle w:val="llb"/>
      <w:tabs>
        <w:tab w:val="clear" w:pos="4536"/>
        <w:tab w:val="center" w:pos="780"/>
      </w:tabs>
      <w:spacing w:before="60"/>
      <w:jc w:val="center"/>
      <w:rPr>
        <w:rFonts w:cs="Arial"/>
        <w:b/>
        <w:color w:val="008000"/>
        <w:sz w:val="16"/>
        <w:szCs w:val="16"/>
      </w:rPr>
    </w:pPr>
    <w:r w:rsidRPr="005A3BFC">
      <w:rPr>
        <w:rStyle w:val="Oldalszm"/>
        <w:rFonts w:cs="Arial"/>
        <w:b/>
        <w:color w:val="008000"/>
        <w:sz w:val="16"/>
        <w:szCs w:val="16"/>
      </w:rPr>
      <w:fldChar w:fldCharType="begin"/>
    </w:r>
    <w:r w:rsidR="00D31591" w:rsidRPr="005A3BFC">
      <w:rPr>
        <w:rStyle w:val="Oldalszm"/>
        <w:rFonts w:cs="Arial"/>
        <w:b/>
        <w:color w:val="008000"/>
        <w:sz w:val="16"/>
        <w:szCs w:val="16"/>
      </w:rPr>
      <w:instrText xml:space="preserve"> PAGE </w:instrText>
    </w:r>
    <w:r w:rsidRPr="005A3BFC">
      <w:rPr>
        <w:rStyle w:val="Oldalszm"/>
        <w:rFonts w:cs="Arial"/>
        <w:b/>
        <w:color w:val="008000"/>
        <w:sz w:val="16"/>
        <w:szCs w:val="16"/>
      </w:rPr>
      <w:fldChar w:fldCharType="separate"/>
    </w:r>
    <w:r w:rsidR="00DA5E9F">
      <w:rPr>
        <w:rStyle w:val="Oldalszm"/>
        <w:rFonts w:cs="Arial"/>
        <w:b/>
        <w:noProof/>
        <w:color w:val="008000"/>
        <w:sz w:val="16"/>
        <w:szCs w:val="16"/>
      </w:rPr>
      <w:t>13</w:t>
    </w:r>
    <w:r w:rsidRPr="005A3BFC">
      <w:rPr>
        <w:rStyle w:val="Oldalszm"/>
        <w:rFonts w:cs="Arial"/>
        <w:b/>
        <w:color w:val="008000"/>
        <w:sz w:val="16"/>
        <w:szCs w:val="16"/>
      </w:rPr>
      <w:fldChar w:fldCharType="end"/>
    </w:r>
    <w:r w:rsidR="00D31591" w:rsidRPr="005A3BFC">
      <w:rPr>
        <w:rStyle w:val="Oldalszm"/>
        <w:rFonts w:cs="Arial"/>
        <w:b/>
        <w:color w:val="008000"/>
        <w:sz w:val="16"/>
        <w:szCs w:val="16"/>
      </w:rPr>
      <w:t>/</w:t>
    </w:r>
    <w:r w:rsidRPr="005A3BFC">
      <w:rPr>
        <w:rStyle w:val="Oldalszm"/>
        <w:rFonts w:cs="Arial"/>
        <w:b/>
        <w:color w:val="008000"/>
        <w:sz w:val="16"/>
        <w:szCs w:val="16"/>
      </w:rPr>
      <w:fldChar w:fldCharType="begin"/>
    </w:r>
    <w:r w:rsidR="00D31591" w:rsidRPr="005A3BFC">
      <w:rPr>
        <w:rStyle w:val="Oldalszm"/>
        <w:rFonts w:cs="Arial"/>
        <w:b/>
        <w:color w:val="008000"/>
        <w:sz w:val="16"/>
        <w:szCs w:val="16"/>
      </w:rPr>
      <w:instrText xml:space="preserve"> NUMPAGES </w:instrText>
    </w:r>
    <w:r w:rsidRPr="005A3BFC">
      <w:rPr>
        <w:rStyle w:val="Oldalszm"/>
        <w:rFonts w:cs="Arial"/>
        <w:b/>
        <w:color w:val="008000"/>
        <w:sz w:val="16"/>
        <w:szCs w:val="16"/>
      </w:rPr>
      <w:fldChar w:fldCharType="separate"/>
    </w:r>
    <w:r w:rsidR="00DA5E9F">
      <w:rPr>
        <w:rStyle w:val="Oldalszm"/>
        <w:rFonts w:cs="Arial"/>
        <w:b/>
        <w:noProof/>
        <w:color w:val="008000"/>
        <w:sz w:val="16"/>
        <w:szCs w:val="16"/>
      </w:rPr>
      <w:t>13</w:t>
    </w:r>
    <w:r w:rsidRPr="005A3BFC">
      <w:rPr>
        <w:rStyle w:val="Oldalszm"/>
        <w:rFonts w:cs="Arial"/>
        <w:b/>
        <w:color w:val="008000"/>
        <w:sz w:val="16"/>
        <w:szCs w:val="16"/>
      </w:rPr>
      <w:fldChar w:fldCharType="end"/>
    </w:r>
    <w:bookmarkStart w:id="0" w:name="_GoBack"/>
    <w:bookmarkEnd w:id="0"/>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Pr="00E04A7F" w:rsidRDefault="00D31591" w:rsidP="00631BC2">
    <w:pPr>
      <w:pStyle w:val="llb"/>
      <w:pBdr>
        <w:top w:val="single" w:sz="4" w:space="1" w:color="auto"/>
      </w:pBdr>
      <w:jc w:val="center"/>
      <w:rPr>
        <w:rFonts w:cs="Arial"/>
        <w:color w:val="404040" w:themeColor="text1" w:themeTint="BF"/>
        <w:sz w:val="16"/>
        <w:szCs w:val="16"/>
      </w:rPr>
    </w:pPr>
    <w:r w:rsidRPr="00E04A7F">
      <w:rPr>
        <w:rFonts w:cs="Arial"/>
        <w:color w:val="404040" w:themeColor="text1" w:themeTint="BF"/>
        <w:sz w:val="16"/>
        <w:szCs w:val="16"/>
      </w:rPr>
      <w:t>GVI • 10</w:t>
    </w:r>
    <w:r>
      <w:rPr>
        <w:rFonts w:cs="Arial"/>
        <w:color w:val="404040" w:themeColor="text1" w:themeTint="BF"/>
        <w:sz w:val="16"/>
        <w:szCs w:val="16"/>
      </w:rPr>
      <w:t>5</w:t>
    </w:r>
    <w:r w:rsidRPr="00E04A7F">
      <w:rPr>
        <w:rFonts w:cs="Arial"/>
        <w:color w:val="404040" w:themeColor="text1" w:themeTint="BF"/>
        <w:sz w:val="16"/>
        <w:szCs w:val="16"/>
      </w:rPr>
      <w:t xml:space="preserve">4 Budapest, </w:t>
    </w:r>
    <w:r>
      <w:rPr>
        <w:rFonts w:cs="Arial"/>
        <w:color w:val="404040" w:themeColor="text1" w:themeTint="BF"/>
        <w:sz w:val="16"/>
        <w:szCs w:val="16"/>
      </w:rPr>
      <w:t>Szabadság</w:t>
    </w:r>
    <w:r w:rsidRPr="00E04A7F">
      <w:rPr>
        <w:rFonts w:cs="Arial"/>
        <w:color w:val="404040" w:themeColor="text1" w:themeTint="BF"/>
        <w:sz w:val="16"/>
        <w:szCs w:val="16"/>
      </w:rPr>
      <w:t xml:space="preserve"> </w:t>
    </w:r>
    <w:r>
      <w:rPr>
        <w:rFonts w:cs="Arial"/>
        <w:color w:val="404040" w:themeColor="text1" w:themeTint="BF"/>
        <w:sz w:val="16"/>
        <w:szCs w:val="16"/>
      </w:rPr>
      <w:t>tér</w:t>
    </w:r>
    <w:r w:rsidRPr="00E04A7F">
      <w:rPr>
        <w:rFonts w:cs="Arial"/>
        <w:color w:val="404040" w:themeColor="text1" w:themeTint="BF"/>
        <w:sz w:val="16"/>
        <w:szCs w:val="16"/>
      </w:rPr>
      <w:t xml:space="preserve"> </w:t>
    </w:r>
    <w:r>
      <w:rPr>
        <w:rFonts w:cs="Arial"/>
        <w:color w:val="404040" w:themeColor="text1" w:themeTint="BF"/>
        <w:sz w:val="16"/>
        <w:szCs w:val="16"/>
      </w:rPr>
      <w:t>7</w:t>
    </w:r>
    <w:r w:rsidRPr="00E04A7F">
      <w:rPr>
        <w:rFonts w:cs="Arial"/>
        <w:color w:val="404040" w:themeColor="text1" w:themeTint="BF"/>
        <w:sz w:val="16"/>
        <w:szCs w:val="16"/>
      </w:rPr>
      <w:t xml:space="preserve">. • </w:t>
    </w:r>
    <w:proofErr w:type="gramStart"/>
    <w:r w:rsidRPr="00E04A7F">
      <w:rPr>
        <w:rFonts w:cs="Arial"/>
        <w:color w:val="404040" w:themeColor="text1" w:themeTint="BF"/>
        <w:sz w:val="16"/>
        <w:szCs w:val="16"/>
      </w:rPr>
      <w:t>tel</w:t>
    </w:r>
    <w:proofErr w:type="gramEnd"/>
    <w:r w:rsidRPr="00E04A7F">
      <w:rPr>
        <w:rFonts w:cs="Arial"/>
        <w:color w:val="404040" w:themeColor="text1" w:themeTint="BF"/>
        <w:sz w:val="16"/>
        <w:szCs w:val="16"/>
      </w:rPr>
      <w:t>: 235-05-84 • e-mail:</w:t>
    </w:r>
    <w:r>
      <w:rPr>
        <w:rFonts w:cs="Arial"/>
        <w:color w:val="404040" w:themeColor="text1" w:themeTint="BF"/>
        <w:sz w:val="16"/>
        <w:szCs w:val="16"/>
      </w:rPr>
      <w:t xml:space="preserve"> </w:t>
    </w:r>
    <w:hyperlink r:id="rId1" w:history="1">
      <w:r w:rsidRPr="00205676">
        <w:rPr>
          <w:rStyle w:val="Hiperhivatkozs"/>
          <w:rFonts w:ascii="Palatino Linotype" w:hAnsi="Palatino Linotype"/>
          <w:sz w:val="16"/>
          <w:szCs w:val="16"/>
        </w:rPr>
        <w:t>gvi@gvi.hu</w:t>
      </w:r>
    </w:hyperlink>
    <w:r>
      <w:rPr>
        <w:rFonts w:cs="Arial"/>
        <w:color w:val="404040" w:themeColor="text1" w:themeTint="BF"/>
        <w:sz w:val="16"/>
        <w:szCs w:val="16"/>
      </w:rPr>
      <w:t xml:space="preserve"> </w:t>
    </w:r>
    <w:r w:rsidRPr="00E04A7F">
      <w:rPr>
        <w:rFonts w:cs="Arial"/>
        <w:color w:val="404040" w:themeColor="text1" w:themeTint="BF"/>
        <w:sz w:val="16"/>
        <w:szCs w:val="16"/>
      </w:rPr>
      <w:t>• Internet:</w:t>
    </w:r>
    <w:r>
      <w:rPr>
        <w:rFonts w:cs="Arial"/>
        <w:color w:val="404040" w:themeColor="text1" w:themeTint="BF"/>
        <w:sz w:val="16"/>
        <w:szCs w:val="16"/>
      </w:rPr>
      <w:t xml:space="preserve"> </w:t>
    </w:r>
    <w:hyperlink r:id="rId2" w:history="1">
      <w:r w:rsidRPr="00205676">
        <w:rPr>
          <w:rStyle w:val="Hiperhivatkozs"/>
          <w:rFonts w:ascii="Palatino Linotype" w:hAnsi="Palatino Linotype"/>
          <w:sz w:val="16"/>
          <w:szCs w:val="16"/>
        </w:rPr>
        <w:t>http://www.gvi.hu</w:t>
      </w:r>
    </w:hyperlink>
  </w:p>
  <w:p w:rsidR="00D31591" w:rsidRPr="00E04A7F" w:rsidRDefault="001E6FEC" w:rsidP="00631BC2">
    <w:pPr>
      <w:pStyle w:val="llb"/>
      <w:jc w:val="center"/>
      <w:rPr>
        <w:rFonts w:cs="Arial"/>
        <w:color w:val="404040" w:themeColor="text1" w:themeTint="BF"/>
        <w:sz w:val="16"/>
        <w:szCs w:val="16"/>
      </w:rPr>
    </w:pPr>
    <w:r w:rsidRPr="00E04A7F">
      <w:rPr>
        <w:rStyle w:val="Oldalszm"/>
        <w:rFonts w:cs="Arial"/>
        <w:color w:val="404040" w:themeColor="text1" w:themeTint="BF"/>
        <w:sz w:val="16"/>
        <w:szCs w:val="16"/>
      </w:rPr>
      <w:fldChar w:fldCharType="begin"/>
    </w:r>
    <w:r w:rsidR="00D31591" w:rsidRPr="00E04A7F">
      <w:rPr>
        <w:rStyle w:val="Oldalszm"/>
        <w:rFonts w:cs="Arial"/>
        <w:color w:val="404040" w:themeColor="text1" w:themeTint="BF"/>
        <w:sz w:val="16"/>
        <w:szCs w:val="16"/>
      </w:rPr>
      <w:instrText xml:space="preserve"> PAGE </w:instrText>
    </w:r>
    <w:r w:rsidRPr="00E04A7F">
      <w:rPr>
        <w:rStyle w:val="Oldalszm"/>
        <w:rFonts w:cs="Arial"/>
        <w:color w:val="404040" w:themeColor="text1" w:themeTint="BF"/>
        <w:sz w:val="16"/>
        <w:szCs w:val="16"/>
      </w:rPr>
      <w:fldChar w:fldCharType="separate"/>
    </w:r>
    <w:r w:rsidR="00D31591">
      <w:rPr>
        <w:rStyle w:val="Oldalszm"/>
        <w:rFonts w:cs="Arial"/>
        <w:noProof/>
        <w:color w:val="404040" w:themeColor="text1" w:themeTint="BF"/>
        <w:sz w:val="16"/>
        <w:szCs w:val="16"/>
      </w:rPr>
      <w:t>13</w:t>
    </w:r>
    <w:r w:rsidRPr="00E04A7F">
      <w:rPr>
        <w:rStyle w:val="Oldalszm"/>
        <w:rFonts w:cs="Arial"/>
        <w:color w:val="404040" w:themeColor="text1" w:themeTint="BF"/>
        <w:sz w:val="16"/>
        <w:szCs w:val="16"/>
      </w:rPr>
      <w:fldChar w:fldCharType="end"/>
    </w:r>
    <w:r w:rsidR="00D31591" w:rsidRPr="00E04A7F">
      <w:rPr>
        <w:rStyle w:val="Oldalszm"/>
        <w:rFonts w:cs="Arial"/>
        <w:color w:val="404040" w:themeColor="text1" w:themeTint="BF"/>
        <w:sz w:val="16"/>
        <w:szCs w:val="16"/>
      </w:rPr>
      <w:t xml:space="preserve"> / </w:t>
    </w:r>
    <w:r w:rsidRPr="00E04A7F">
      <w:rPr>
        <w:rStyle w:val="Oldalszm"/>
        <w:rFonts w:cs="Arial"/>
        <w:color w:val="404040" w:themeColor="text1" w:themeTint="BF"/>
        <w:sz w:val="16"/>
        <w:szCs w:val="16"/>
      </w:rPr>
      <w:fldChar w:fldCharType="begin"/>
    </w:r>
    <w:r w:rsidR="00D31591" w:rsidRPr="00E04A7F">
      <w:rPr>
        <w:rStyle w:val="Oldalszm"/>
        <w:rFonts w:cs="Arial"/>
        <w:color w:val="404040" w:themeColor="text1" w:themeTint="BF"/>
        <w:sz w:val="16"/>
        <w:szCs w:val="16"/>
      </w:rPr>
      <w:instrText xml:space="preserve"> NUMPAGES </w:instrText>
    </w:r>
    <w:r w:rsidRPr="00E04A7F">
      <w:rPr>
        <w:rStyle w:val="Oldalszm"/>
        <w:rFonts w:cs="Arial"/>
        <w:color w:val="404040" w:themeColor="text1" w:themeTint="BF"/>
        <w:sz w:val="16"/>
        <w:szCs w:val="16"/>
      </w:rPr>
      <w:fldChar w:fldCharType="separate"/>
    </w:r>
    <w:r w:rsidR="00DA5E9F">
      <w:rPr>
        <w:rStyle w:val="Oldalszm"/>
        <w:rFonts w:cs="Arial"/>
        <w:noProof/>
        <w:color w:val="404040" w:themeColor="text1" w:themeTint="BF"/>
        <w:sz w:val="16"/>
        <w:szCs w:val="16"/>
      </w:rPr>
      <w:t>13</w:t>
    </w:r>
    <w:r w:rsidRPr="00E04A7F">
      <w:rPr>
        <w:rStyle w:val="Oldalszm"/>
        <w:rFonts w:cs="Arial"/>
        <w:color w:val="404040" w:themeColor="text1" w:themeTint="B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A17" w:rsidRDefault="00B37A17" w:rsidP="00631BC2">
      <w:pPr>
        <w:spacing w:after="0" w:line="240" w:lineRule="auto"/>
      </w:pPr>
      <w:r>
        <w:separator/>
      </w:r>
    </w:p>
  </w:footnote>
  <w:footnote w:type="continuationSeparator" w:id="0">
    <w:p w:rsidR="00B37A17" w:rsidRDefault="00B37A17" w:rsidP="00631BC2">
      <w:pPr>
        <w:spacing w:after="0" w:line="240" w:lineRule="auto"/>
      </w:pPr>
      <w:r>
        <w:continuationSeparator/>
      </w:r>
    </w:p>
  </w:footnote>
  <w:footnote w:id="1">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Nicolas, F</w:t>
      </w:r>
      <w:proofErr w:type="gramStart"/>
      <w:r w:rsidRPr="00D479BE">
        <w:rPr>
          <w:rFonts w:ascii="Times New Roman" w:hAnsi="Times New Roman" w:cs="Times New Roman"/>
          <w:sz w:val="18"/>
          <w:szCs w:val="18"/>
        </w:rPr>
        <w:t>.,</w:t>
      </w:r>
      <w:proofErr w:type="gram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Thomsen</w:t>
      </w:r>
      <w:proofErr w:type="spellEnd"/>
      <w:r w:rsidRPr="00D479BE">
        <w:rPr>
          <w:rFonts w:ascii="Times New Roman" w:hAnsi="Times New Roman" w:cs="Times New Roman"/>
          <w:sz w:val="18"/>
          <w:szCs w:val="18"/>
        </w:rPr>
        <w:t xml:space="preserve">, S. (2008). The </w:t>
      </w:r>
      <w:proofErr w:type="spellStart"/>
      <w:r w:rsidRPr="00D479BE">
        <w:rPr>
          <w:rFonts w:ascii="Times New Roman" w:hAnsi="Times New Roman" w:cs="Times New Roman"/>
          <w:sz w:val="18"/>
          <w:szCs w:val="18"/>
        </w:rPr>
        <w:t>Rise</w:t>
      </w:r>
      <w:proofErr w:type="spellEnd"/>
      <w:r w:rsidRPr="00D479BE">
        <w:rPr>
          <w:rFonts w:ascii="Times New Roman" w:hAnsi="Times New Roman" w:cs="Times New Roman"/>
          <w:sz w:val="18"/>
          <w:szCs w:val="18"/>
        </w:rPr>
        <w:t xml:space="preserve"> of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Firms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Europe: </w:t>
      </w:r>
      <w:proofErr w:type="spellStart"/>
      <w:r w:rsidRPr="00D479BE">
        <w:rPr>
          <w:rFonts w:ascii="Times New Roman" w:hAnsi="Times New Roman" w:cs="Times New Roman"/>
          <w:sz w:val="18"/>
          <w:szCs w:val="18"/>
        </w:rPr>
        <w:t>Motives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Strategies</w:t>
      </w:r>
      <w:proofErr w:type="spellEnd"/>
      <w:r w:rsidRPr="00D479BE">
        <w:rPr>
          <w:rFonts w:ascii="Times New Roman" w:hAnsi="Times New Roman" w:cs="Times New Roman"/>
          <w:sz w:val="18"/>
          <w:szCs w:val="18"/>
        </w:rPr>
        <w:t xml:space="preserve"> and </w:t>
      </w:r>
      <w:proofErr w:type="spellStart"/>
      <w:r w:rsidRPr="00D479BE">
        <w:rPr>
          <w:rFonts w:ascii="Times New Roman" w:hAnsi="Times New Roman" w:cs="Times New Roman"/>
          <w:sz w:val="18"/>
          <w:szCs w:val="18"/>
        </w:rPr>
        <w:t>Implications</w:t>
      </w:r>
      <w:proofErr w:type="spellEnd"/>
      <w:r w:rsidRPr="00D479BE">
        <w:rPr>
          <w:rFonts w:ascii="Times New Roman" w:hAnsi="Times New Roman" w:cs="Times New Roman"/>
          <w:sz w:val="18"/>
          <w:szCs w:val="18"/>
        </w:rPr>
        <w:t xml:space="preserve">. </w:t>
      </w:r>
      <w:r w:rsidRPr="00D479BE">
        <w:rPr>
          <w:rFonts w:ascii="Times New Roman" w:hAnsi="Times New Roman" w:cs="Times New Roman"/>
          <w:i/>
          <w:sz w:val="18"/>
          <w:szCs w:val="18"/>
        </w:rPr>
        <w:t xml:space="preserve">The </w:t>
      </w:r>
      <w:proofErr w:type="spellStart"/>
      <w:r w:rsidRPr="00D479BE">
        <w:rPr>
          <w:rFonts w:ascii="Times New Roman" w:hAnsi="Times New Roman" w:cs="Times New Roman"/>
          <w:i/>
          <w:sz w:val="18"/>
          <w:szCs w:val="18"/>
        </w:rPr>
        <w:t>Asia</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Pacific</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Economic</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Association</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Conference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Beijing</w:t>
      </w:r>
      <w:proofErr w:type="spellEnd"/>
      <w:r w:rsidRPr="00D479BE">
        <w:rPr>
          <w:rFonts w:ascii="Times New Roman" w:hAnsi="Times New Roman" w:cs="Times New Roman"/>
          <w:sz w:val="18"/>
          <w:szCs w:val="18"/>
        </w:rPr>
        <w:t>, December 13–14, 2008.</w:t>
      </w:r>
    </w:p>
  </w:footnote>
  <w:footnote w:id="2">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Guerrero</w:t>
      </w:r>
      <w:proofErr w:type="spellEnd"/>
      <w:r w:rsidRPr="00D479BE">
        <w:rPr>
          <w:rFonts w:ascii="Times New Roman" w:hAnsi="Times New Roman" w:cs="Times New Roman"/>
          <w:sz w:val="18"/>
          <w:szCs w:val="18"/>
        </w:rPr>
        <w:t xml:space="preserve">, D. (2017).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Investment</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Europe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the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Age</w:t>
      </w:r>
      <w:proofErr w:type="spellEnd"/>
      <w:r w:rsidRPr="00D479BE">
        <w:rPr>
          <w:rFonts w:ascii="Times New Roman" w:hAnsi="Times New Roman" w:cs="Times New Roman"/>
          <w:sz w:val="18"/>
          <w:szCs w:val="18"/>
        </w:rPr>
        <w:t xml:space="preserve"> of </w:t>
      </w:r>
      <w:proofErr w:type="spellStart"/>
      <w:r w:rsidRPr="00D479BE">
        <w:rPr>
          <w:rFonts w:ascii="Times New Roman" w:hAnsi="Times New Roman" w:cs="Times New Roman"/>
          <w:sz w:val="18"/>
          <w:szCs w:val="18"/>
        </w:rPr>
        <w:t>Brexit</w:t>
      </w:r>
      <w:proofErr w:type="spellEnd"/>
      <w:r w:rsidRPr="00D479BE">
        <w:rPr>
          <w:rFonts w:ascii="Times New Roman" w:hAnsi="Times New Roman" w:cs="Times New Roman"/>
          <w:sz w:val="18"/>
          <w:szCs w:val="18"/>
        </w:rPr>
        <w:t xml:space="preserve"> and </w:t>
      </w:r>
      <w:proofErr w:type="spellStart"/>
      <w:r w:rsidRPr="00D479BE">
        <w:rPr>
          <w:rFonts w:ascii="Times New Roman" w:hAnsi="Times New Roman" w:cs="Times New Roman"/>
          <w:sz w:val="18"/>
          <w:szCs w:val="18"/>
        </w:rPr>
        <w:t>Trump</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i/>
          <w:sz w:val="18"/>
          <w:szCs w:val="18"/>
        </w:rPr>
        <w:t>Transnational</w:t>
      </w:r>
      <w:proofErr w:type="spellEnd"/>
      <w:r w:rsidRPr="00D479BE">
        <w:rPr>
          <w:rFonts w:ascii="Times New Roman" w:hAnsi="Times New Roman" w:cs="Times New Roman"/>
          <w:i/>
          <w:sz w:val="18"/>
          <w:szCs w:val="18"/>
        </w:rPr>
        <w:t xml:space="preserve"> Institute</w:t>
      </w:r>
      <w:r w:rsidRPr="00D479BE">
        <w:rPr>
          <w:rFonts w:ascii="Times New Roman" w:hAnsi="Times New Roman" w:cs="Times New Roman"/>
          <w:sz w:val="18"/>
          <w:szCs w:val="18"/>
        </w:rPr>
        <w:t xml:space="preserve"> (TNI), </w:t>
      </w:r>
      <w:proofErr w:type="spellStart"/>
      <w:r w:rsidRPr="00D479BE">
        <w:rPr>
          <w:rFonts w:ascii="Times New Roman" w:hAnsi="Times New Roman" w:cs="Times New Roman"/>
          <w:sz w:val="18"/>
          <w:szCs w:val="18"/>
        </w:rPr>
        <w:t>Working</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Papers</w:t>
      </w:r>
      <w:proofErr w:type="spellEnd"/>
      <w:r w:rsidRPr="00D479BE">
        <w:rPr>
          <w:rFonts w:ascii="Times New Roman" w:hAnsi="Times New Roman" w:cs="Times New Roman"/>
          <w:sz w:val="18"/>
          <w:szCs w:val="18"/>
        </w:rPr>
        <w:t>.</w:t>
      </w:r>
    </w:p>
  </w:footnote>
  <w:footnote w:id="3">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Hanemann</w:t>
      </w:r>
      <w:proofErr w:type="spellEnd"/>
      <w:r w:rsidRPr="00D479BE">
        <w:rPr>
          <w:rFonts w:ascii="Times New Roman" w:hAnsi="Times New Roman" w:cs="Times New Roman"/>
          <w:sz w:val="18"/>
          <w:szCs w:val="18"/>
        </w:rPr>
        <w:t>, T</w:t>
      </w:r>
      <w:proofErr w:type="gramStart"/>
      <w:r w:rsidRPr="00D479BE">
        <w:rPr>
          <w:rFonts w:ascii="Times New Roman" w:hAnsi="Times New Roman" w:cs="Times New Roman"/>
          <w:sz w:val="18"/>
          <w:szCs w:val="18"/>
        </w:rPr>
        <w:t>.,</w:t>
      </w:r>
      <w:proofErr w:type="gram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Rosen</w:t>
      </w:r>
      <w:proofErr w:type="spellEnd"/>
      <w:r w:rsidRPr="00D479BE">
        <w:rPr>
          <w:rFonts w:ascii="Times New Roman" w:hAnsi="Times New Roman" w:cs="Times New Roman"/>
          <w:sz w:val="18"/>
          <w:szCs w:val="18"/>
        </w:rPr>
        <w:t xml:space="preserve">, D. H. (2012). </w:t>
      </w:r>
      <w:proofErr w:type="spellStart"/>
      <w:r w:rsidRPr="00D479BE">
        <w:rPr>
          <w:rFonts w:ascii="Times New Roman" w:hAnsi="Times New Roman" w:cs="Times New Roman"/>
          <w:i/>
          <w:sz w:val="18"/>
          <w:szCs w:val="18"/>
        </w:rPr>
        <w:t>China</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Invests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Europe </w:t>
      </w:r>
      <w:proofErr w:type="spellStart"/>
      <w:r w:rsidRPr="00D479BE">
        <w:rPr>
          <w:rFonts w:ascii="Times New Roman" w:hAnsi="Times New Roman" w:cs="Times New Roman"/>
          <w:i/>
          <w:sz w:val="18"/>
          <w:szCs w:val="18"/>
        </w:rPr>
        <w:t>Patterns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Impacts</w:t>
      </w:r>
      <w:proofErr w:type="spellEnd"/>
      <w:r w:rsidRPr="00D479BE">
        <w:rPr>
          <w:rFonts w:ascii="Times New Roman" w:hAnsi="Times New Roman" w:cs="Times New Roman"/>
          <w:i/>
          <w:sz w:val="18"/>
          <w:szCs w:val="18"/>
        </w:rPr>
        <w:t xml:space="preserve"> and Policy </w:t>
      </w:r>
      <w:proofErr w:type="spellStart"/>
      <w:r w:rsidRPr="00D479BE">
        <w:rPr>
          <w:rFonts w:ascii="Times New Roman" w:hAnsi="Times New Roman" w:cs="Times New Roman"/>
          <w:i/>
          <w:sz w:val="18"/>
          <w:szCs w:val="18"/>
        </w:rPr>
        <w:t>Implications</w:t>
      </w:r>
      <w:proofErr w:type="spellEnd"/>
      <w:r w:rsidRPr="00D479BE">
        <w:rPr>
          <w:rFonts w:ascii="Times New Roman" w:hAnsi="Times New Roman" w:cs="Times New Roman"/>
          <w:sz w:val="18"/>
          <w:szCs w:val="18"/>
        </w:rPr>
        <w:t>.</w:t>
      </w:r>
    </w:p>
  </w:footnote>
  <w:footnote w:id="4">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Nicolas &amp; </w:t>
      </w:r>
      <w:proofErr w:type="spellStart"/>
      <w:r w:rsidRPr="00D479BE">
        <w:rPr>
          <w:rFonts w:ascii="Times New Roman" w:hAnsi="Times New Roman" w:cs="Times New Roman"/>
          <w:sz w:val="18"/>
          <w:szCs w:val="18"/>
        </w:rPr>
        <w:t>Thomsen</w:t>
      </w:r>
      <w:proofErr w:type="spellEnd"/>
      <w:r w:rsidRPr="00D479BE">
        <w:rPr>
          <w:rFonts w:ascii="Times New Roman" w:hAnsi="Times New Roman" w:cs="Times New Roman"/>
          <w:sz w:val="18"/>
          <w:szCs w:val="18"/>
        </w:rPr>
        <w:t>, 2008.</w:t>
      </w:r>
    </w:p>
  </w:footnote>
  <w:footnote w:id="5">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Hanemann</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Rosen</w:t>
      </w:r>
      <w:proofErr w:type="spellEnd"/>
      <w:r w:rsidRPr="00D479BE">
        <w:rPr>
          <w:rFonts w:ascii="Times New Roman" w:hAnsi="Times New Roman" w:cs="Times New Roman"/>
          <w:sz w:val="18"/>
          <w:szCs w:val="18"/>
        </w:rPr>
        <w:t>, 2012.</w:t>
      </w:r>
    </w:p>
  </w:footnote>
  <w:footnote w:id="6">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Rabellotti</w:t>
      </w:r>
      <w:proofErr w:type="spellEnd"/>
      <w:r w:rsidRPr="00D479BE">
        <w:rPr>
          <w:rFonts w:ascii="Times New Roman" w:hAnsi="Times New Roman" w:cs="Times New Roman"/>
          <w:sz w:val="18"/>
          <w:szCs w:val="18"/>
        </w:rPr>
        <w:t xml:space="preserve">, R. (2017), </w:t>
      </w:r>
      <w:proofErr w:type="spellStart"/>
      <w:r w:rsidRPr="00D479BE">
        <w:rPr>
          <w:rFonts w:ascii="Times New Roman" w:hAnsi="Times New Roman" w:cs="Times New Roman"/>
          <w:sz w:val="18"/>
          <w:szCs w:val="18"/>
        </w:rPr>
        <w:t>How</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good</w:t>
      </w:r>
      <w:proofErr w:type="spellEnd"/>
      <w:r w:rsidRPr="00D479BE">
        <w:rPr>
          <w:rFonts w:ascii="Times New Roman" w:hAnsi="Times New Roman" w:cs="Times New Roman"/>
          <w:sz w:val="18"/>
          <w:szCs w:val="18"/>
        </w:rPr>
        <w:t xml:space="preserve"> is </w:t>
      </w:r>
      <w:proofErr w:type="spellStart"/>
      <w:r w:rsidRPr="00D479BE">
        <w:rPr>
          <w:rFonts w:ascii="Times New Roman" w:hAnsi="Times New Roman" w:cs="Times New Roman"/>
          <w:sz w:val="18"/>
          <w:szCs w:val="18"/>
        </w:rPr>
        <w:t>investing</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Europe </w:t>
      </w:r>
      <w:proofErr w:type="spellStart"/>
      <w:r w:rsidRPr="00D479BE">
        <w:rPr>
          <w:rFonts w:ascii="Times New Roman" w:hAnsi="Times New Roman" w:cs="Times New Roman"/>
          <w:sz w:val="18"/>
          <w:szCs w:val="18"/>
        </w:rPr>
        <w:t>for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Companies</w:t>
      </w:r>
      <w:proofErr w:type="spellEnd"/>
      <w:r w:rsidRPr="00D479BE">
        <w:rPr>
          <w:rFonts w:ascii="Times New Roman" w:hAnsi="Times New Roman" w:cs="Times New Roman"/>
          <w:sz w:val="18"/>
          <w:szCs w:val="18"/>
        </w:rPr>
        <w:t xml:space="preserve">, </w:t>
      </w:r>
      <w:r w:rsidRPr="00D479BE">
        <w:rPr>
          <w:rFonts w:ascii="Times New Roman" w:hAnsi="Times New Roman" w:cs="Times New Roman"/>
          <w:i/>
          <w:sz w:val="18"/>
          <w:szCs w:val="18"/>
        </w:rPr>
        <w:t xml:space="preserve">The </w:t>
      </w:r>
      <w:proofErr w:type="spellStart"/>
      <w:r w:rsidRPr="00D479BE">
        <w:rPr>
          <w:rFonts w:ascii="Times New Roman" w:hAnsi="Times New Roman" w:cs="Times New Roman"/>
          <w:i/>
          <w:sz w:val="18"/>
          <w:szCs w:val="18"/>
        </w:rPr>
        <w:t>Asia</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Dialogue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Dreger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Schüler-Zhou</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Schüller</w:t>
      </w:r>
      <w:proofErr w:type="spellEnd"/>
      <w:r w:rsidRPr="00D479BE">
        <w:rPr>
          <w:rFonts w:ascii="Times New Roman" w:hAnsi="Times New Roman" w:cs="Times New Roman"/>
          <w:sz w:val="18"/>
          <w:szCs w:val="18"/>
        </w:rPr>
        <w:t>, 2017.</w:t>
      </w:r>
    </w:p>
  </w:footnote>
  <w:footnote w:id="7">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Blomkvist</w:t>
      </w:r>
      <w:proofErr w:type="spellEnd"/>
      <w:r w:rsidRPr="00D479BE">
        <w:rPr>
          <w:rFonts w:ascii="Times New Roman" w:hAnsi="Times New Roman" w:cs="Times New Roman"/>
          <w:sz w:val="18"/>
          <w:szCs w:val="18"/>
        </w:rPr>
        <w:t>, K</w:t>
      </w:r>
      <w:proofErr w:type="gramStart"/>
      <w:r w:rsidRPr="00D479BE">
        <w:rPr>
          <w:rFonts w:ascii="Times New Roman" w:hAnsi="Times New Roman" w:cs="Times New Roman"/>
          <w:sz w:val="18"/>
          <w:szCs w:val="18"/>
        </w:rPr>
        <w:t>.,</w:t>
      </w:r>
      <w:proofErr w:type="gram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Drogendijk</w:t>
      </w:r>
      <w:proofErr w:type="spellEnd"/>
      <w:r w:rsidRPr="00D479BE">
        <w:rPr>
          <w:rFonts w:ascii="Times New Roman" w:hAnsi="Times New Roman" w:cs="Times New Roman"/>
          <w:sz w:val="18"/>
          <w:szCs w:val="18"/>
        </w:rPr>
        <w:t xml:space="preserve">, R. (2016),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outward</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foreign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direct</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investments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Europe, </w:t>
      </w:r>
      <w:r w:rsidRPr="00D479BE">
        <w:rPr>
          <w:rFonts w:ascii="Times New Roman" w:hAnsi="Times New Roman" w:cs="Times New Roman"/>
          <w:i/>
          <w:sz w:val="18"/>
          <w:szCs w:val="18"/>
        </w:rPr>
        <w:t>European J. International Management</w:t>
      </w:r>
      <w:r w:rsidRPr="00D479BE">
        <w:rPr>
          <w:rFonts w:ascii="Times New Roman" w:hAnsi="Times New Roman" w:cs="Times New Roman"/>
          <w:sz w:val="18"/>
          <w:szCs w:val="18"/>
        </w:rPr>
        <w:t xml:space="preserve">, 10 (3); </w:t>
      </w:r>
      <w:proofErr w:type="spellStart"/>
      <w:r w:rsidRPr="00D479BE">
        <w:rPr>
          <w:rFonts w:ascii="Times New Roman" w:hAnsi="Times New Roman" w:cs="Times New Roman"/>
          <w:sz w:val="18"/>
          <w:szCs w:val="18"/>
        </w:rPr>
        <w:t>Hanemann</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Rosen</w:t>
      </w:r>
      <w:proofErr w:type="spellEnd"/>
      <w:r w:rsidRPr="00D479BE">
        <w:rPr>
          <w:rFonts w:ascii="Times New Roman" w:hAnsi="Times New Roman" w:cs="Times New Roman"/>
          <w:sz w:val="18"/>
          <w:szCs w:val="18"/>
        </w:rPr>
        <w:t>, 2012.</w:t>
      </w:r>
    </w:p>
  </w:footnote>
  <w:footnote w:id="8">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Amendolagine</w:t>
      </w:r>
      <w:proofErr w:type="spellEnd"/>
      <w:r w:rsidRPr="00D479BE">
        <w:rPr>
          <w:rFonts w:ascii="Times New Roman" w:hAnsi="Times New Roman" w:cs="Times New Roman"/>
          <w:sz w:val="18"/>
          <w:szCs w:val="18"/>
        </w:rPr>
        <w:t xml:space="preserve">, V., &amp; </w:t>
      </w:r>
      <w:proofErr w:type="spellStart"/>
      <w:r w:rsidRPr="00D479BE">
        <w:rPr>
          <w:rFonts w:ascii="Times New Roman" w:hAnsi="Times New Roman" w:cs="Times New Roman"/>
          <w:sz w:val="18"/>
          <w:szCs w:val="18"/>
        </w:rPr>
        <w:t>Rabellotti</w:t>
      </w:r>
      <w:proofErr w:type="spellEnd"/>
      <w:r w:rsidRPr="00D479BE">
        <w:rPr>
          <w:rFonts w:ascii="Times New Roman" w:hAnsi="Times New Roman" w:cs="Times New Roman"/>
          <w:sz w:val="18"/>
          <w:szCs w:val="18"/>
        </w:rPr>
        <w:t xml:space="preserve">, R. (2017),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Foreign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Direct</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Investments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the</w:t>
      </w:r>
      <w:proofErr w:type="spellEnd"/>
      <w:r w:rsidRPr="00D479BE">
        <w:rPr>
          <w:rFonts w:ascii="Times New Roman" w:hAnsi="Times New Roman" w:cs="Times New Roman"/>
          <w:sz w:val="18"/>
          <w:szCs w:val="18"/>
        </w:rPr>
        <w:t xml:space="preserve"> European Union,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J. D. (</w:t>
      </w:r>
      <w:proofErr w:type="spellStart"/>
      <w:r w:rsidRPr="00D479BE">
        <w:rPr>
          <w:rFonts w:ascii="Times New Roman" w:hAnsi="Times New Roman" w:cs="Times New Roman"/>
          <w:sz w:val="18"/>
          <w:szCs w:val="18"/>
        </w:rPr>
        <w:t>Ed</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i/>
          <w:sz w:val="18"/>
          <w:szCs w:val="18"/>
        </w:rPr>
        <w:t>Chinese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Investment</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Europe: </w:t>
      </w:r>
      <w:proofErr w:type="spellStart"/>
      <w:r w:rsidRPr="00D479BE">
        <w:rPr>
          <w:rFonts w:ascii="Times New Roman" w:hAnsi="Times New Roman" w:cs="Times New Roman"/>
          <w:i/>
          <w:sz w:val="18"/>
          <w:szCs w:val="18"/>
        </w:rPr>
        <w:t>Corporate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Strategies</w:t>
      </w:r>
      <w:proofErr w:type="spellEnd"/>
      <w:r w:rsidRPr="00D479BE">
        <w:rPr>
          <w:rFonts w:ascii="Times New Roman" w:hAnsi="Times New Roman" w:cs="Times New Roman"/>
          <w:i/>
          <w:sz w:val="18"/>
          <w:szCs w:val="18"/>
        </w:rPr>
        <w:t xml:space="preserve"> and </w:t>
      </w:r>
      <w:proofErr w:type="spellStart"/>
      <w:r w:rsidRPr="00D479BE">
        <w:rPr>
          <w:rFonts w:ascii="Times New Roman" w:hAnsi="Times New Roman" w:cs="Times New Roman"/>
          <w:i/>
          <w:sz w:val="18"/>
          <w:szCs w:val="18"/>
        </w:rPr>
        <w:t>Labour</w:t>
      </w:r>
      <w:proofErr w:type="spellEnd"/>
      <w:r w:rsidRPr="00D479BE">
        <w:rPr>
          <w:rFonts w:ascii="Times New Roman" w:hAnsi="Times New Roman" w:cs="Times New Roman"/>
          <w:i/>
          <w:sz w:val="18"/>
          <w:szCs w:val="18"/>
        </w:rPr>
        <w:t xml:space="preserve"> Relations</w:t>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Brussels</w:t>
      </w:r>
      <w:proofErr w:type="spellEnd"/>
      <w:r w:rsidRPr="00D479BE">
        <w:rPr>
          <w:rFonts w:ascii="Times New Roman" w:hAnsi="Times New Roman" w:cs="Times New Roman"/>
          <w:sz w:val="18"/>
          <w:szCs w:val="18"/>
        </w:rPr>
        <w:t xml:space="preserve">: ETUI </w:t>
      </w:r>
      <w:proofErr w:type="spellStart"/>
      <w:r w:rsidRPr="00D479BE">
        <w:rPr>
          <w:rFonts w:ascii="Times New Roman" w:hAnsi="Times New Roman" w:cs="Times New Roman"/>
          <w:sz w:val="18"/>
          <w:szCs w:val="18"/>
        </w:rPr>
        <w:t>aisbl</w:t>
      </w:r>
      <w:proofErr w:type="spellEnd"/>
      <w:r w:rsidRPr="00D479BE">
        <w:rPr>
          <w:rFonts w:ascii="Times New Roman" w:hAnsi="Times New Roman" w:cs="Times New Roman"/>
          <w:sz w:val="18"/>
          <w:szCs w:val="18"/>
        </w:rPr>
        <w:t>.</w:t>
      </w:r>
    </w:p>
  </w:footnote>
  <w:footnote w:id="9">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Amendolagine</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Rabellotti</w:t>
      </w:r>
      <w:proofErr w:type="spellEnd"/>
      <w:r w:rsidRPr="00D479BE">
        <w:rPr>
          <w:rFonts w:ascii="Times New Roman" w:hAnsi="Times New Roman" w:cs="Times New Roman"/>
          <w:sz w:val="18"/>
          <w:szCs w:val="18"/>
        </w:rPr>
        <w:t>, 2017.</w:t>
      </w:r>
    </w:p>
  </w:footnote>
  <w:footnote w:id="10">
    <w:p w:rsidR="00D31591" w:rsidRPr="00D479BE" w:rsidRDefault="00D31591" w:rsidP="002F3F6C">
      <w:pPr>
        <w:pStyle w:val="Lbjegyzetszveg"/>
        <w:rPr>
          <w:rFonts w:ascii="Times New Roman" w:hAnsi="Times New Roman" w:cs="Times New Roman"/>
        </w:rPr>
      </w:pPr>
      <w:r w:rsidRPr="00D479BE">
        <w:rPr>
          <w:rStyle w:val="Lbjegyzet-hivatkozs"/>
          <w:rFonts w:ascii="Times New Roman" w:hAnsi="Times New Roman" w:cs="Times New Roman"/>
        </w:rPr>
        <w:footnoteRef/>
      </w:r>
      <w:r w:rsidRPr="00D479BE">
        <w:rPr>
          <w:rFonts w:ascii="Times New Roman" w:hAnsi="Times New Roman" w:cs="Times New Roman"/>
        </w:rPr>
        <w:t xml:space="preserve"> </w:t>
      </w:r>
      <w:proofErr w:type="spellStart"/>
      <w:r w:rsidRPr="00D479BE">
        <w:rPr>
          <w:rFonts w:ascii="Times New Roman" w:hAnsi="Times New Roman" w:cs="Times New Roman"/>
          <w:sz w:val="18"/>
          <w:szCs w:val="18"/>
        </w:rPr>
        <w:t>Tamas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Matura</w:t>
      </w:r>
      <w:proofErr w:type="spellEnd"/>
      <w:r w:rsidRPr="00D479BE">
        <w:rPr>
          <w:rFonts w:ascii="Times New Roman" w:hAnsi="Times New Roman" w:cs="Times New Roman"/>
          <w:sz w:val="18"/>
          <w:szCs w:val="18"/>
        </w:rPr>
        <w:t xml:space="preserve"> (2018) The </w:t>
      </w:r>
      <w:proofErr w:type="spellStart"/>
      <w:r w:rsidRPr="00D479BE">
        <w:rPr>
          <w:rFonts w:ascii="Times New Roman" w:hAnsi="Times New Roman" w:cs="Times New Roman"/>
          <w:sz w:val="18"/>
          <w:szCs w:val="18"/>
        </w:rPr>
        <w:t>Misguided</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Discourse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On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Influence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Central</w:t>
      </w:r>
      <w:proofErr w:type="spellEnd"/>
      <w:r w:rsidRPr="00D479BE">
        <w:rPr>
          <w:rFonts w:ascii="Times New Roman" w:hAnsi="Times New Roman" w:cs="Times New Roman"/>
          <w:sz w:val="18"/>
          <w:szCs w:val="18"/>
        </w:rPr>
        <w:t xml:space="preserve"> Europe, Global </w:t>
      </w:r>
      <w:proofErr w:type="spellStart"/>
      <w:r w:rsidRPr="00D479BE">
        <w:rPr>
          <w:rFonts w:ascii="Times New Roman" w:hAnsi="Times New Roman" w:cs="Times New Roman"/>
          <w:sz w:val="18"/>
          <w:szCs w:val="18"/>
        </w:rPr>
        <w:t>Affairs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October</w:t>
      </w:r>
      <w:proofErr w:type="spellEnd"/>
      <w:r w:rsidRPr="00D479BE">
        <w:rPr>
          <w:rFonts w:ascii="Times New Roman" w:hAnsi="Times New Roman" w:cs="Times New Roman"/>
          <w:sz w:val="18"/>
          <w:szCs w:val="18"/>
        </w:rPr>
        <w:t xml:space="preserve"> 2018.</w:t>
      </w:r>
    </w:p>
  </w:footnote>
  <w:footnote w:id="11">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Tartar</w:t>
      </w:r>
      <w:proofErr w:type="spellEnd"/>
      <w:r w:rsidRPr="00D479BE">
        <w:rPr>
          <w:rFonts w:ascii="Times New Roman" w:hAnsi="Times New Roman" w:cs="Times New Roman"/>
          <w:sz w:val="18"/>
          <w:szCs w:val="18"/>
        </w:rPr>
        <w:t>, A</w:t>
      </w:r>
      <w:proofErr w:type="gramStart"/>
      <w:r w:rsidRPr="00D479BE">
        <w:rPr>
          <w:rFonts w:ascii="Times New Roman" w:hAnsi="Times New Roman" w:cs="Times New Roman"/>
          <w:sz w:val="18"/>
          <w:szCs w:val="18"/>
        </w:rPr>
        <w:t>.,</w:t>
      </w:r>
      <w:proofErr w:type="gram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Rojanasakul</w:t>
      </w:r>
      <w:proofErr w:type="spellEnd"/>
      <w:r w:rsidRPr="00D479BE">
        <w:rPr>
          <w:rFonts w:ascii="Times New Roman" w:hAnsi="Times New Roman" w:cs="Times New Roman"/>
          <w:sz w:val="18"/>
          <w:szCs w:val="18"/>
        </w:rPr>
        <w:t xml:space="preserve">, M., &amp; Diamond, J. S. (2018, </w:t>
      </w:r>
      <w:proofErr w:type="spellStart"/>
      <w:r w:rsidRPr="00D479BE">
        <w:rPr>
          <w:rFonts w:ascii="Times New Roman" w:hAnsi="Times New Roman" w:cs="Times New Roman"/>
          <w:sz w:val="18"/>
          <w:szCs w:val="18"/>
        </w:rPr>
        <w:t>April</w:t>
      </w:r>
      <w:proofErr w:type="spellEnd"/>
      <w:r w:rsidRPr="00D479BE">
        <w:rPr>
          <w:rFonts w:ascii="Times New Roman" w:hAnsi="Times New Roman" w:cs="Times New Roman"/>
          <w:sz w:val="18"/>
          <w:szCs w:val="18"/>
        </w:rPr>
        <w:t xml:space="preserve"> 23). </w:t>
      </w:r>
      <w:proofErr w:type="spellStart"/>
      <w:r w:rsidRPr="00D479BE">
        <w:rPr>
          <w:rFonts w:ascii="Times New Roman" w:hAnsi="Times New Roman" w:cs="Times New Roman"/>
          <w:i/>
          <w:sz w:val="18"/>
          <w:szCs w:val="18"/>
        </w:rPr>
        <w:t>How</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China</w:t>
      </w:r>
      <w:proofErr w:type="spellEnd"/>
      <w:r w:rsidRPr="00D479BE">
        <w:rPr>
          <w:rFonts w:ascii="Times New Roman" w:hAnsi="Times New Roman" w:cs="Times New Roman"/>
          <w:i/>
          <w:sz w:val="18"/>
          <w:szCs w:val="18"/>
        </w:rPr>
        <w:t xml:space="preserve"> Is </w:t>
      </w:r>
      <w:proofErr w:type="spellStart"/>
      <w:r w:rsidRPr="00D479BE">
        <w:rPr>
          <w:rFonts w:ascii="Times New Roman" w:hAnsi="Times New Roman" w:cs="Times New Roman"/>
          <w:i/>
          <w:sz w:val="18"/>
          <w:szCs w:val="18"/>
        </w:rPr>
        <w:t>Buying</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Its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Way</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Into</w:t>
      </w:r>
      <w:proofErr w:type="spellEnd"/>
      <w:r w:rsidRPr="00D479BE">
        <w:rPr>
          <w:rFonts w:ascii="Times New Roman" w:hAnsi="Times New Roman" w:cs="Times New Roman"/>
          <w:i/>
          <w:sz w:val="18"/>
          <w:szCs w:val="18"/>
        </w:rPr>
        <w:t xml:space="preserve"> Europe.</w:t>
      </w:r>
    </w:p>
  </w:footnote>
  <w:footnote w:id="12">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Dekeyser</w:t>
      </w:r>
      <w:proofErr w:type="spellEnd"/>
      <w:r w:rsidRPr="00D479BE">
        <w:rPr>
          <w:rFonts w:ascii="Times New Roman" w:hAnsi="Times New Roman" w:cs="Times New Roman"/>
          <w:sz w:val="18"/>
          <w:szCs w:val="18"/>
        </w:rPr>
        <w:t xml:space="preserve">, H. (2017),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Investments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Europe: </w:t>
      </w:r>
      <w:proofErr w:type="spellStart"/>
      <w:r w:rsidRPr="00D479BE">
        <w:rPr>
          <w:rFonts w:ascii="Times New Roman" w:hAnsi="Times New Roman" w:cs="Times New Roman"/>
          <w:sz w:val="18"/>
          <w:szCs w:val="18"/>
        </w:rPr>
        <w:t>Bargain</w:t>
      </w:r>
      <w:proofErr w:type="spellEnd"/>
      <w:r w:rsidRPr="00D479BE">
        <w:rPr>
          <w:rFonts w:ascii="Times New Roman" w:hAnsi="Times New Roman" w:cs="Times New Roman"/>
          <w:sz w:val="18"/>
          <w:szCs w:val="18"/>
        </w:rPr>
        <w:t xml:space="preserve"> Hunt </w:t>
      </w:r>
      <w:proofErr w:type="spellStart"/>
      <w:r w:rsidRPr="00D479BE">
        <w:rPr>
          <w:rFonts w:ascii="Times New Roman" w:hAnsi="Times New Roman" w:cs="Times New Roman"/>
          <w:sz w:val="18"/>
          <w:szCs w:val="18"/>
        </w:rPr>
        <w:t>or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Salvation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for</w:t>
      </w:r>
      <w:proofErr w:type="spellEnd"/>
      <w:r w:rsidRPr="00D479BE">
        <w:rPr>
          <w:rFonts w:ascii="Times New Roman" w:hAnsi="Times New Roman" w:cs="Times New Roman"/>
          <w:sz w:val="18"/>
          <w:szCs w:val="18"/>
        </w:rPr>
        <w:t xml:space="preserve"> The European </w:t>
      </w:r>
      <w:proofErr w:type="spellStart"/>
      <w:r w:rsidRPr="00D479BE">
        <w:rPr>
          <w:rFonts w:ascii="Times New Roman" w:hAnsi="Times New Roman" w:cs="Times New Roman"/>
          <w:sz w:val="18"/>
          <w:szCs w:val="18"/>
        </w:rPr>
        <w:t>Economy</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i/>
          <w:sz w:val="18"/>
          <w:szCs w:val="18"/>
        </w:rPr>
        <w:t>Masterproef</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voorgelegd</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voor</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het</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behalen</w:t>
      </w:r>
      <w:proofErr w:type="spellEnd"/>
      <w:r w:rsidRPr="00D479BE">
        <w:rPr>
          <w:rFonts w:ascii="Times New Roman" w:hAnsi="Times New Roman" w:cs="Times New Roman"/>
          <w:i/>
          <w:sz w:val="18"/>
          <w:szCs w:val="18"/>
        </w:rPr>
        <w:t xml:space="preserve"> van de </w:t>
      </w:r>
      <w:proofErr w:type="spellStart"/>
      <w:r w:rsidRPr="00D479BE">
        <w:rPr>
          <w:rFonts w:ascii="Times New Roman" w:hAnsi="Times New Roman" w:cs="Times New Roman"/>
          <w:i/>
          <w:sz w:val="18"/>
          <w:szCs w:val="18"/>
        </w:rPr>
        <w:t>graad</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master</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de </w:t>
      </w:r>
      <w:proofErr w:type="spellStart"/>
      <w:r w:rsidRPr="00D479BE">
        <w:rPr>
          <w:rFonts w:ascii="Times New Roman" w:hAnsi="Times New Roman" w:cs="Times New Roman"/>
          <w:i/>
          <w:sz w:val="18"/>
          <w:szCs w:val="18"/>
        </w:rPr>
        <w:t>richting</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Politieke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Wetenschappen</w:t>
      </w:r>
      <w:proofErr w:type="spellEnd"/>
      <w:r w:rsidRPr="00D479BE">
        <w:rPr>
          <w:rFonts w:ascii="Times New Roman" w:hAnsi="Times New Roman" w:cs="Times New Roman"/>
          <w:i/>
          <w:sz w:val="18"/>
          <w:szCs w:val="18"/>
        </w:rPr>
        <w:t>.</w:t>
      </w:r>
    </w:p>
  </w:footnote>
  <w:footnote w:id="13">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Tartar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Rojanasakul</w:t>
      </w:r>
      <w:proofErr w:type="spellEnd"/>
      <w:r w:rsidRPr="00D479BE">
        <w:rPr>
          <w:rFonts w:ascii="Times New Roman" w:hAnsi="Times New Roman" w:cs="Times New Roman"/>
          <w:sz w:val="18"/>
          <w:szCs w:val="18"/>
        </w:rPr>
        <w:t>, &amp; Diamond, 2018.</w:t>
      </w:r>
    </w:p>
  </w:footnote>
  <w:footnote w:id="14">
    <w:p w:rsidR="00D31591" w:rsidRPr="00D479BE" w:rsidRDefault="00D31591" w:rsidP="001C5DD2">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Dreger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Schüler-Zhou</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Schüller</w:t>
      </w:r>
      <w:proofErr w:type="spellEnd"/>
      <w:r w:rsidRPr="00D479BE">
        <w:rPr>
          <w:rFonts w:ascii="Times New Roman" w:hAnsi="Times New Roman" w:cs="Times New Roman"/>
          <w:sz w:val="18"/>
          <w:szCs w:val="18"/>
        </w:rPr>
        <w:t>, 2017.</w:t>
      </w:r>
    </w:p>
  </w:footnote>
  <w:footnote w:id="15">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Hanemann</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Rosen</w:t>
      </w:r>
      <w:proofErr w:type="spellEnd"/>
      <w:r w:rsidRPr="00D479BE">
        <w:rPr>
          <w:rFonts w:ascii="Times New Roman" w:hAnsi="Times New Roman" w:cs="Times New Roman"/>
          <w:sz w:val="18"/>
          <w:szCs w:val="18"/>
        </w:rPr>
        <w:t>, 2012.</w:t>
      </w:r>
    </w:p>
  </w:footnote>
  <w:footnote w:id="16">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Blomkvist</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Drogendijk</w:t>
      </w:r>
      <w:proofErr w:type="spellEnd"/>
      <w:r w:rsidRPr="00D479BE">
        <w:rPr>
          <w:rFonts w:ascii="Times New Roman" w:hAnsi="Times New Roman" w:cs="Times New Roman"/>
          <w:sz w:val="18"/>
          <w:szCs w:val="18"/>
        </w:rPr>
        <w:t>, 2016.</w:t>
      </w:r>
    </w:p>
  </w:footnote>
  <w:footnote w:id="17">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Hanemann</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Rosen</w:t>
      </w:r>
      <w:proofErr w:type="spellEnd"/>
      <w:r w:rsidRPr="00D479BE">
        <w:rPr>
          <w:rFonts w:ascii="Times New Roman" w:hAnsi="Times New Roman" w:cs="Times New Roman"/>
          <w:sz w:val="18"/>
          <w:szCs w:val="18"/>
        </w:rPr>
        <w:t>, 2012.</w:t>
      </w:r>
    </w:p>
  </w:footnote>
  <w:footnote w:id="18">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Dreger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Schüler-Zhou</w:t>
      </w:r>
      <w:proofErr w:type="spell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Schüller</w:t>
      </w:r>
      <w:proofErr w:type="spellEnd"/>
      <w:r w:rsidRPr="00D479BE">
        <w:rPr>
          <w:rFonts w:ascii="Times New Roman" w:hAnsi="Times New Roman" w:cs="Times New Roman"/>
          <w:sz w:val="18"/>
          <w:szCs w:val="18"/>
        </w:rPr>
        <w:t>, 2017.</w:t>
      </w:r>
    </w:p>
  </w:footnote>
  <w:footnote w:id="19">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Clegg</w:t>
      </w:r>
      <w:proofErr w:type="spellEnd"/>
      <w:r w:rsidRPr="00D479BE">
        <w:rPr>
          <w:rFonts w:ascii="Times New Roman" w:hAnsi="Times New Roman" w:cs="Times New Roman"/>
          <w:sz w:val="18"/>
          <w:szCs w:val="18"/>
        </w:rPr>
        <w:t>, J</w:t>
      </w:r>
      <w:proofErr w:type="gramStart"/>
      <w:r w:rsidRPr="00D479BE">
        <w:rPr>
          <w:rFonts w:ascii="Times New Roman" w:hAnsi="Times New Roman" w:cs="Times New Roman"/>
          <w:sz w:val="18"/>
          <w:szCs w:val="18"/>
        </w:rPr>
        <w:t>.,</w:t>
      </w:r>
      <w:proofErr w:type="gramEnd"/>
      <w:r w:rsidRPr="00D479BE">
        <w:rPr>
          <w:rFonts w:ascii="Times New Roman" w:hAnsi="Times New Roman" w:cs="Times New Roman"/>
          <w:sz w:val="18"/>
          <w:szCs w:val="18"/>
        </w:rPr>
        <w:t xml:space="preserve"> &amp; </w:t>
      </w:r>
      <w:proofErr w:type="spellStart"/>
      <w:r w:rsidRPr="00D479BE">
        <w:rPr>
          <w:rFonts w:ascii="Times New Roman" w:hAnsi="Times New Roman" w:cs="Times New Roman"/>
          <w:sz w:val="18"/>
          <w:szCs w:val="18"/>
        </w:rPr>
        <w:t>Voss</w:t>
      </w:r>
      <w:proofErr w:type="spellEnd"/>
      <w:r w:rsidRPr="00D479BE">
        <w:rPr>
          <w:rFonts w:ascii="Times New Roman" w:hAnsi="Times New Roman" w:cs="Times New Roman"/>
          <w:sz w:val="18"/>
          <w:szCs w:val="18"/>
        </w:rPr>
        <w:t xml:space="preserve">, H. (2012), </w:t>
      </w:r>
      <w:proofErr w:type="spellStart"/>
      <w:r w:rsidRPr="00D479BE">
        <w:rPr>
          <w:rFonts w:ascii="Times New Roman" w:hAnsi="Times New Roman" w:cs="Times New Roman"/>
          <w:i/>
          <w:sz w:val="18"/>
          <w:szCs w:val="18"/>
        </w:rPr>
        <w:t>Chinese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Overseas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Direct</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Investment</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the</w:t>
      </w:r>
      <w:proofErr w:type="spellEnd"/>
      <w:r w:rsidRPr="00D479BE">
        <w:rPr>
          <w:rFonts w:ascii="Times New Roman" w:hAnsi="Times New Roman" w:cs="Times New Roman"/>
          <w:i/>
          <w:sz w:val="18"/>
          <w:szCs w:val="18"/>
        </w:rPr>
        <w:t xml:space="preserve"> European Union</w:t>
      </w:r>
      <w:r w:rsidRPr="00D479BE">
        <w:rPr>
          <w:rFonts w:ascii="Times New Roman" w:hAnsi="Times New Roman" w:cs="Times New Roman"/>
          <w:sz w:val="18"/>
          <w:szCs w:val="18"/>
        </w:rPr>
        <w:t>, London.</w:t>
      </w:r>
    </w:p>
  </w:footnote>
  <w:footnote w:id="20">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Hellström</w:t>
      </w:r>
      <w:proofErr w:type="spellEnd"/>
      <w:r w:rsidRPr="00D479BE">
        <w:rPr>
          <w:rFonts w:ascii="Times New Roman" w:hAnsi="Times New Roman" w:cs="Times New Roman"/>
          <w:sz w:val="18"/>
          <w:szCs w:val="18"/>
        </w:rPr>
        <w:t xml:space="preserve">, J. (2016), </w:t>
      </w:r>
      <w:proofErr w:type="spellStart"/>
      <w:r w:rsidRPr="00D479BE">
        <w:rPr>
          <w:rFonts w:ascii="Times New Roman" w:hAnsi="Times New Roman" w:cs="Times New Roman"/>
          <w:i/>
          <w:sz w:val="18"/>
          <w:szCs w:val="18"/>
        </w:rPr>
        <w:t>China’s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Acquisitions</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Europe: European </w:t>
      </w:r>
      <w:proofErr w:type="spellStart"/>
      <w:r w:rsidRPr="00D479BE">
        <w:rPr>
          <w:rFonts w:ascii="Times New Roman" w:hAnsi="Times New Roman" w:cs="Times New Roman"/>
          <w:i/>
          <w:sz w:val="18"/>
          <w:szCs w:val="18"/>
        </w:rPr>
        <w:t>Perceptions</w:t>
      </w:r>
      <w:proofErr w:type="spellEnd"/>
      <w:r w:rsidRPr="00D479BE">
        <w:rPr>
          <w:rFonts w:ascii="Times New Roman" w:hAnsi="Times New Roman" w:cs="Times New Roman"/>
          <w:i/>
          <w:sz w:val="18"/>
          <w:szCs w:val="18"/>
        </w:rPr>
        <w:t xml:space="preserve"> of </w:t>
      </w:r>
      <w:proofErr w:type="spellStart"/>
      <w:r w:rsidRPr="00D479BE">
        <w:rPr>
          <w:rFonts w:ascii="Times New Roman" w:hAnsi="Times New Roman" w:cs="Times New Roman"/>
          <w:i/>
          <w:sz w:val="18"/>
          <w:szCs w:val="18"/>
        </w:rPr>
        <w:t>Chinese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Investments</w:t>
      </w:r>
      <w:proofErr w:type="spellEnd"/>
      <w:r w:rsidRPr="00D479BE">
        <w:rPr>
          <w:rFonts w:ascii="Times New Roman" w:hAnsi="Times New Roman" w:cs="Times New Roman"/>
          <w:i/>
          <w:sz w:val="18"/>
          <w:szCs w:val="18"/>
        </w:rPr>
        <w:t xml:space="preserve"> and </w:t>
      </w:r>
      <w:proofErr w:type="spellStart"/>
      <w:r w:rsidRPr="00D479BE">
        <w:rPr>
          <w:rFonts w:ascii="Times New Roman" w:hAnsi="Times New Roman" w:cs="Times New Roman"/>
          <w:i/>
          <w:sz w:val="18"/>
          <w:szCs w:val="18"/>
        </w:rPr>
        <w:t>their</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Strategic</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Implications</w:t>
      </w:r>
      <w:proofErr w:type="spellEnd"/>
      <w:r w:rsidRPr="00D479BE">
        <w:rPr>
          <w:rFonts w:ascii="Times New Roman" w:hAnsi="Times New Roman" w:cs="Times New Roman"/>
          <w:sz w:val="18"/>
          <w:szCs w:val="18"/>
        </w:rPr>
        <w:t>, FOI.</w:t>
      </w:r>
    </w:p>
  </w:footnote>
  <w:footnote w:id="21">
    <w:p w:rsidR="00D31591" w:rsidRPr="00D479BE" w:rsidRDefault="00D31591" w:rsidP="001F7CD2">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Tartar</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Rojanasakul</w:t>
      </w:r>
      <w:proofErr w:type="spellEnd"/>
      <w:r w:rsidRPr="00D479BE">
        <w:rPr>
          <w:rFonts w:ascii="Times New Roman" w:hAnsi="Times New Roman" w:cs="Times New Roman"/>
          <w:sz w:val="18"/>
          <w:szCs w:val="18"/>
        </w:rPr>
        <w:t>, &amp; Diamond, 2018.</w:t>
      </w:r>
    </w:p>
  </w:footnote>
  <w:footnote w:id="22">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McCaleb</w:t>
      </w:r>
      <w:proofErr w:type="spellEnd"/>
      <w:r w:rsidRPr="00D479BE">
        <w:rPr>
          <w:rFonts w:ascii="Times New Roman" w:hAnsi="Times New Roman" w:cs="Times New Roman"/>
          <w:sz w:val="18"/>
          <w:szCs w:val="18"/>
        </w:rPr>
        <w:t xml:space="preserve">, A. &amp; </w:t>
      </w:r>
      <w:proofErr w:type="spellStart"/>
      <w:r w:rsidRPr="00D479BE">
        <w:rPr>
          <w:rFonts w:ascii="Times New Roman" w:hAnsi="Times New Roman" w:cs="Times New Roman"/>
          <w:sz w:val="18"/>
          <w:szCs w:val="18"/>
        </w:rPr>
        <w:t>Szunomár</w:t>
      </w:r>
      <w:proofErr w:type="spellEnd"/>
      <w:r w:rsidRPr="00D479BE">
        <w:rPr>
          <w:rFonts w:ascii="Times New Roman" w:hAnsi="Times New Roman" w:cs="Times New Roman"/>
          <w:sz w:val="18"/>
          <w:szCs w:val="18"/>
        </w:rPr>
        <w:t xml:space="preserve">, Á. (2017)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foreign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direct</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investment</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central</w:t>
      </w:r>
      <w:proofErr w:type="spellEnd"/>
      <w:r w:rsidRPr="00D479BE">
        <w:rPr>
          <w:rFonts w:ascii="Times New Roman" w:hAnsi="Times New Roman" w:cs="Times New Roman"/>
          <w:sz w:val="18"/>
          <w:szCs w:val="18"/>
        </w:rPr>
        <w:t xml:space="preserve"> and </w:t>
      </w:r>
      <w:proofErr w:type="spellStart"/>
      <w:r w:rsidRPr="00D479BE">
        <w:rPr>
          <w:rFonts w:ascii="Times New Roman" w:hAnsi="Times New Roman" w:cs="Times New Roman"/>
          <w:sz w:val="18"/>
          <w:szCs w:val="18"/>
        </w:rPr>
        <w:t>eastern</w:t>
      </w:r>
      <w:proofErr w:type="spellEnd"/>
      <w:r w:rsidRPr="00D479BE">
        <w:rPr>
          <w:rFonts w:ascii="Times New Roman" w:hAnsi="Times New Roman" w:cs="Times New Roman"/>
          <w:sz w:val="18"/>
          <w:szCs w:val="18"/>
        </w:rPr>
        <w:t xml:space="preserve"> Europe: an </w:t>
      </w:r>
      <w:proofErr w:type="spellStart"/>
      <w:r w:rsidRPr="00D479BE">
        <w:rPr>
          <w:rFonts w:ascii="Times New Roman" w:hAnsi="Times New Roman" w:cs="Times New Roman"/>
          <w:sz w:val="18"/>
          <w:szCs w:val="18"/>
        </w:rPr>
        <w:t>institutional</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perspective</w:t>
      </w:r>
      <w:proofErr w:type="spellEnd"/>
      <w:r w:rsidRPr="00D479BE">
        <w:rPr>
          <w:rFonts w:ascii="Times New Roman" w:hAnsi="Times New Roman" w:cs="Times New Roman"/>
          <w:sz w:val="18"/>
          <w:szCs w:val="18"/>
        </w:rPr>
        <w:t>.</w:t>
      </w:r>
    </w:p>
  </w:footnote>
  <w:footnote w:id="23">
    <w:p w:rsidR="00D31591" w:rsidRPr="00D479BE" w:rsidRDefault="00D31591" w:rsidP="002F3F6C">
      <w:pPr>
        <w:pStyle w:val="Lbjegyzetszveg"/>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Drahokoupil</w:t>
      </w:r>
      <w:proofErr w:type="spellEnd"/>
      <w:r w:rsidRPr="00D479BE">
        <w:rPr>
          <w:rFonts w:ascii="Times New Roman" w:hAnsi="Times New Roman" w:cs="Times New Roman"/>
          <w:sz w:val="18"/>
          <w:szCs w:val="18"/>
        </w:rPr>
        <w:t xml:space="preserve">, J. (2017). </w:t>
      </w:r>
      <w:proofErr w:type="spellStart"/>
      <w:r w:rsidRPr="00D479BE">
        <w:rPr>
          <w:rFonts w:ascii="Times New Roman" w:hAnsi="Times New Roman" w:cs="Times New Roman"/>
          <w:sz w:val="18"/>
          <w:szCs w:val="18"/>
        </w:rPr>
        <w:t>Introduction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J. D. (</w:t>
      </w:r>
      <w:proofErr w:type="spellStart"/>
      <w:r w:rsidRPr="00D479BE">
        <w:rPr>
          <w:rFonts w:ascii="Times New Roman" w:hAnsi="Times New Roman" w:cs="Times New Roman"/>
          <w:sz w:val="18"/>
          <w:szCs w:val="18"/>
        </w:rPr>
        <w:t>Ed</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i/>
          <w:sz w:val="18"/>
          <w:szCs w:val="18"/>
        </w:rPr>
        <w:t>Chinese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Investment</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in</w:t>
      </w:r>
      <w:proofErr w:type="spellEnd"/>
      <w:r w:rsidRPr="00D479BE">
        <w:rPr>
          <w:rFonts w:ascii="Times New Roman" w:hAnsi="Times New Roman" w:cs="Times New Roman"/>
          <w:i/>
          <w:sz w:val="18"/>
          <w:szCs w:val="18"/>
        </w:rPr>
        <w:t xml:space="preserve"> Europe: </w:t>
      </w:r>
      <w:proofErr w:type="spellStart"/>
      <w:r w:rsidRPr="00D479BE">
        <w:rPr>
          <w:rFonts w:ascii="Times New Roman" w:hAnsi="Times New Roman" w:cs="Times New Roman"/>
          <w:i/>
          <w:sz w:val="18"/>
          <w:szCs w:val="18"/>
        </w:rPr>
        <w:t>Corporate</w:t>
      </w:r>
      <w:proofErr w:type="spellEnd"/>
      <w:r w:rsidRPr="00D479BE">
        <w:rPr>
          <w:rFonts w:ascii="Times New Roman" w:hAnsi="Times New Roman" w:cs="Times New Roman"/>
          <w:i/>
          <w:sz w:val="18"/>
          <w:szCs w:val="18"/>
        </w:rPr>
        <w:t xml:space="preserve"> </w:t>
      </w:r>
      <w:proofErr w:type="spellStart"/>
      <w:r w:rsidRPr="00D479BE">
        <w:rPr>
          <w:rFonts w:ascii="Times New Roman" w:hAnsi="Times New Roman" w:cs="Times New Roman"/>
          <w:i/>
          <w:sz w:val="18"/>
          <w:szCs w:val="18"/>
        </w:rPr>
        <w:t>Strategies</w:t>
      </w:r>
      <w:proofErr w:type="spellEnd"/>
      <w:r w:rsidRPr="00D479BE">
        <w:rPr>
          <w:rFonts w:ascii="Times New Roman" w:hAnsi="Times New Roman" w:cs="Times New Roman"/>
          <w:i/>
          <w:sz w:val="18"/>
          <w:szCs w:val="18"/>
        </w:rPr>
        <w:t xml:space="preserve"> and </w:t>
      </w:r>
      <w:proofErr w:type="spellStart"/>
      <w:r w:rsidRPr="00D479BE">
        <w:rPr>
          <w:rFonts w:ascii="Times New Roman" w:hAnsi="Times New Roman" w:cs="Times New Roman"/>
          <w:i/>
          <w:sz w:val="18"/>
          <w:szCs w:val="18"/>
        </w:rPr>
        <w:t>Labour</w:t>
      </w:r>
      <w:proofErr w:type="spellEnd"/>
      <w:r w:rsidRPr="00D479BE">
        <w:rPr>
          <w:rFonts w:ascii="Times New Roman" w:hAnsi="Times New Roman" w:cs="Times New Roman"/>
          <w:i/>
          <w:sz w:val="18"/>
          <w:szCs w:val="18"/>
        </w:rPr>
        <w:t xml:space="preserve"> Relations</w:t>
      </w:r>
      <w:r w:rsidRPr="00D479BE">
        <w:rPr>
          <w:rFonts w:ascii="Times New Roman" w:hAnsi="Times New Roman" w:cs="Times New Roman"/>
          <w:sz w:val="18"/>
          <w:szCs w:val="18"/>
        </w:rPr>
        <w:t xml:space="preserve"> (pp. 1-17). </w:t>
      </w:r>
      <w:proofErr w:type="spellStart"/>
      <w:r w:rsidRPr="00D479BE">
        <w:rPr>
          <w:rFonts w:ascii="Times New Roman" w:hAnsi="Times New Roman" w:cs="Times New Roman"/>
          <w:sz w:val="18"/>
          <w:szCs w:val="18"/>
        </w:rPr>
        <w:t>Brussels</w:t>
      </w:r>
      <w:proofErr w:type="spellEnd"/>
      <w:r w:rsidRPr="00D479BE">
        <w:rPr>
          <w:rFonts w:ascii="Times New Roman" w:hAnsi="Times New Roman" w:cs="Times New Roman"/>
          <w:sz w:val="18"/>
          <w:szCs w:val="18"/>
        </w:rPr>
        <w:t xml:space="preserve">: ETUI </w:t>
      </w:r>
      <w:proofErr w:type="spellStart"/>
      <w:r w:rsidRPr="00D479BE">
        <w:rPr>
          <w:rFonts w:ascii="Times New Roman" w:hAnsi="Times New Roman" w:cs="Times New Roman"/>
          <w:sz w:val="18"/>
          <w:szCs w:val="18"/>
        </w:rPr>
        <w:t>aisbl</w:t>
      </w:r>
      <w:proofErr w:type="spellEnd"/>
      <w:r w:rsidRPr="00D479BE">
        <w:rPr>
          <w:rFonts w:ascii="Times New Roman" w:hAnsi="Times New Roman" w:cs="Times New Roman"/>
          <w:sz w:val="18"/>
          <w:szCs w:val="18"/>
        </w:rPr>
        <w:t>.</w:t>
      </w:r>
    </w:p>
  </w:footnote>
  <w:footnote w:id="24">
    <w:p w:rsidR="00D31591" w:rsidRPr="00D479BE" w:rsidRDefault="00D31591" w:rsidP="002F3F6C">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J. </w:t>
      </w:r>
      <w:proofErr w:type="spellStart"/>
      <w:r w:rsidRPr="00D479BE">
        <w:rPr>
          <w:rFonts w:ascii="Times New Roman" w:hAnsi="Times New Roman" w:cs="Times New Roman"/>
          <w:sz w:val="18"/>
          <w:szCs w:val="18"/>
        </w:rPr>
        <w:t>Drahokoupil</w:t>
      </w:r>
      <w:proofErr w:type="spellEnd"/>
      <w:r w:rsidRPr="00D479BE">
        <w:rPr>
          <w:rFonts w:ascii="Times New Roman" w:hAnsi="Times New Roman" w:cs="Times New Roman"/>
          <w:sz w:val="18"/>
          <w:szCs w:val="18"/>
        </w:rPr>
        <w:t>, 2017.</w:t>
      </w:r>
    </w:p>
  </w:footnote>
  <w:footnote w:id="25">
    <w:p w:rsidR="00D31591" w:rsidRPr="00D479BE" w:rsidRDefault="00D31591" w:rsidP="00D31591">
      <w:pPr>
        <w:pStyle w:val="Lbjegyzetszveg"/>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A. </w:t>
      </w:r>
      <w:proofErr w:type="spellStart"/>
      <w:r w:rsidRPr="00D479BE">
        <w:rPr>
          <w:rFonts w:ascii="Times New Roman" w:hAnsi="Times New Roman" w:cs="Times New Roman"/>
          <w:sz w:val="18"/>
          <w:szCs w:val="18"/>
        </w:rPr>
        <w:t>McCaleb</w:t>
      </w:r>
      <w:proofErr w:type="spellEnd"/>
      <w:r w:rsidRPr="00D479BE">
        <w:rPr>
          <w:rFonts w:ascii="Times New Roman" w:hAnsi="Times New Roman" w:cs="Times New Roman"/>
          <w:sz w:val="18"/>
          <w:szCs w:val="18"/>
        </w:rPr>
        <w:t xml:space="preserve"> &amp; Á. </w:t>
      </w:r>
      <w:proofErr w:type="spellStart"/>
      <w:r w:rsidRPr="00D479BE">
        <w:rPr>
          <w:rFonts w:ascii="Times New Roman" w:hAnsi="Times New Roman" w:cs="Times New Roman"/>
          <w:sz w:val="18"/>
          <w:szCs w:val="18"/>
        </w:rPr>
        <w:t>Szunomár</w:t>
      </w:r>
      <w:proofErr w:type="spellEnd"/>
      <w:r w:rsidRPr="00D479BE">
        <w:rPr>
          <w:rFonts w:ascii="Times New Roman" w:hAnsi="Times New Roman" w:cs="Times New Roman"/>
          <w:sz w:val="18"/>
          <w:szCs w:val="18"/>
        </w:rPr>
        <w:t>, 2017.</w:t>
      </w:r>
    </w:p>
  </w:footnote>
  <w:footnote w:id="26">
    <w:p w:rsidR="00D31591" w:rsidRPr="00D479BE" w:rsidRDefault="00D31591" w:rsidP="00D31591">
      <w:pPr>
        <w:pStyle w:val="Lbjegyzetszveg"/>
        <w:ind w:left="180" w:hanging="180"/>
        <w:jc w:val="both"/>
        <w:rPr>
          <w:rFonts w:ascii="Times New Roman" w:hAnsi="Times New Roman" w:cs="Times New Roman"/>
          <w:sz w:val="18"/>
          <w:szCs w:val="18"/>
        </w:rPr>
      </w:pPr>
      <w:r w:rsidRPr="00D479BE">
        <w:rPr>
          <w:rStyle w:val="Lbjegyzet-hivatkozs"/>
          <w:rFonts w:ascii="Times New Roman" w:hAnsi="Times New Roman" w:cs="Times New Roman"/>
          <w:sz w:val="18"/>
          <w:szCs w:val="18"/>
        </w:rPr>
        <w:footnoteRef/>
      </w:r>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Tamas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Matura</w:t>
      </w:r>
      <w:proofErr w:type="spellEnd"/>
      <w:r w:rsidRPr="00D479BE">
        <w:rPr>
          <w:rFonts w:ascii="Times New Roman" w:hAnsi="Times New Roman" w:cs="Times New Roman"/>
          <w:sz w:val="18"/>
          <w:szCs w:val="18"/>
        </w:rPr>
        <w:t xml:space="preserve"> (2018) The </w:t>
      </w:r>
      <w:proofErr w:type="spellStart"/>
      <w:r w:rsidRPr="00D479BE">
        <w:rPr>
          <w:rFonts w:ascii="Times New Roman" w:hAnsi="Times New Roman" w:cs="Times New Roman"/>
          <w:sz w:val="18"/>
          <w:szCs w:val="18"/>
        </w:rPr>
        <w:t>Misguided</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Discourse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On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Chinese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Influence</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in</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Central</w:t>
      </w:r>
      <w:proofErr w:type="spellEnd"/>
      <w:r w:rsidRPr="00D479BE">
        <w:rPr>
          <w:rFonts w:ascii="Times New Roman" w:hAnsi="Times New Roman" w:cs="Times New Roman"/>
          <w:sz w:val="18"/>
          <w:szCs w:val="18"/>
        </w:rPr>
        <w:t xml:space="preserve"> Europe, Global </w:t>
      </w:r>
      <w:proofErr w:type="spellStart"/>
      <w:r w:rsidRPr="00D479BE">
        <w:rPr>
          <w:rFonts w:ascii="Times New Roman" w:hAnsi="Times New Roman" w:cs="Times New Roman"/>
          <w:sz w:val="18"/>
          <w:szCs w:val="18"/>
        </w:rPr>
        <w:t>Affairs</w:t>
      </w:r>
      <w:proofErr w:type="spellEnd"/>
      <w:r w:rsidRPr="00D479BE">
        <w:rPr>
          <w:rFonts w:ascii="Times New Roman" w:hAnsi="Times New Roman" w:cs="Times New Roman"/>
          <w:sz w:val="18"/>
          <w:szCs w:val="18"/>
        </w:rPr>
        <w:t xml:space="preserve">, </w:t>
      </w:r>
      <w:proofErr w:type="spellStart"/>
      <w:r w:rsidRPr="00D479BE">
        <w:rPr>
          <w:rFonts w:ascii="Times New Roman" w:hAnsi="Times New Roman" w:cs="Times New Roman"/>
          <w:sz w:val="18"/>
          <w:szCs w:val="18"/>
        </w:rPr>
        <w:t>October</w:t>
      </w:r>
      <w:proofErr w:type="spellEnd"/>
      <w:r w:rsidRPr="00D479BE">
        <w:rPr>
          <w:rFonts w:ascii="Times New Roman" w:hAnsi="Times New Roman" w:cs="Times New Roman"/>
          <w:sz w:val="18"/>
          <w:szCs w:val="18"/>
        </w:rPr>
        <w:t xml:space="preserve">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E9F" w:rsidRDefault="00DA5E9F">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Pr="00853C87" w:rsidRDefault="00D31591" w:rsidP="002237AA">
    <w:pPr>
      <w:pStyle w:val="lfej"/>
      <w:tabs>
        <w:tab w:val="clear" w:pos="4536"/>
        <w:tab w:val="center" w:pos="4819"/>
        <w:tab w:val="left" w:pos="9072"/>
      </w:tabs>
      <w:spacing w:after="240"/>
      <w:rPr>
        <w:b/>
        <w:color w:val="008000"/>
      </w:rPr>
    </w:pPr>
    <w:r>
      <w:rPr>
        <w:b/>
        <w:color w:val="008000"/>
      </w:rPr>
      <w:t>GHT 2019</w:t>
    </w:r>
    <w:r w:rsidRPr="00722820">
      <w:rPr>
        <w:b/>
        <w:color w:val="008000"/>
      </w:rPr>
      <w:t xml:space="preserve">. </w:t>
    </w:r>
    <w:r>
      <w:rPr>
        <w:b/>
        <w:color w:val="008000"/>
      </w:rPr>
      <w:t>szeptember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E9F" w:rsidRDefault="00DA5E9F">
    <w:pPr>
      <w:pStyle w:val="lfej"/>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Default="00D31591">
    <w:pPr>
      <w:pStyle w:val="lfej"/>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Default="00D31591" w:rsidP="00631BC2">
    <w:pPr>
      <w:pStyle w:val="lfej"/>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91" w:rsidRPr="002237AA" w:rsidRDefault="00D31591" w:rsidP="002237AA">
    <w:pPr>
      <w:pStyle w:val="lfej"/>
      <w:tabs>
        <w:tab w:val="clear" w:pos="4536"/>
        <w:tab w:val="center" w:pos="4819"/>
        <w:tab w:val="left" w:pos="9072"/>
      </w:tabs>
      <w:spacing w:after="240"/>
      <w:rPr>
        <w:b/>
        <w:color w:val="008000"/>
      </w:rPr>
    </w:pPr>
    <w:r>
      <w:rPr>
        <w:b/>
        <w:color w:val="008000"/>
      </w:rPr>
      <w:t>GHT 2019</w:t>
    </w:r>
    <w:r w:rsidRPr="00722820">
      <w:rPr>
        <w:b/>
        <w:color w:val="008000"/>
      </w:rPr>
      <w:t xml:space="preserve">. </w:t>
    </w:r>
    <w:r>
      <w:rPr>
        <w:b/>
        <w:color w:val="008000"/>
      </w:rPr>
      <w:t>szeptember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763E"/>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2680D52"/>
    <w:multiLevelType w:val="multilevel"/>
    <w:tmpl w:val="DBCE0A12"/>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color w:val="E36C0A" w:themeColor="accent6" w:themeShade="BF"/>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15:restartNumberingAfterBreak="0">
    <w:nsid w:val="05181CA5"/>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C075BA"/>
    <w:multiLevelType w:val="hybridMultilevel"/>
    <w:tmpl w:val="2B12DC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A4660A9"/>
    <w:multiLevelType w:val="hybridMultilevel"/>
    <w:tmpl w:val="995A92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D620CB7"/>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17F7ADC"/>
    <w:multiLevelType w:val="hybridMultilevel"/>
    <w:tmpl w:val="3B6274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3141684"/>
    <w:multiLevelType w:val="singleLevel"/>
    <w:tmpl w:val="00000008"/>
    <w:lvl w:ilvl="0">
      <w:start w:val="1"/>
      <w:numFmt w:val="decimal"/>
      <w:lvlText w:val="%1."/>
      <w:lvlJc w:val="left"/>
      <w:pPr>
        <w:tabs>
          <w:tab w:val="num" w:pos="0"/>
        </w:tabs>
        <w:ind w:left="1117" w:hanging="360"/>
      </w:pPr>
      <w:rPr>
        <w:spacing w:val="-2"/>
      </w:rPr>
    </w:lvl>
  </w:abstractNum>
  <w:abstractNum w:abstractNumId="8" w15:restartNumberingAfterBreak="0">
    <w:nsid w:val="13C93267"/>
    <w:multiLevelType w:val="hybridMultilevel"/>
    <w:tmpl w:val="CB9A6882"/>
    <w:lvl w:ilvl="0" w:tplc="A9D04184">
      <w:start w:val="6"/>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89B3091"/>
    <w:multiLevelType w:val="hybridMultilevel"/>
    <w:tmpl w:val="71F2C416"/>
    <w:lvl w:ilvl="0" w:tplc="07B638FC">
      <w:numFmt w:val="bullet"/>
      <w:lvlText w:val="•"/>
      <w:lvlJc w:val="left"/>
      <w:pPr>
        <w:ind w:left="1067" w:hanging="707"/>
      </w:pPr>
      <w:rPr>
        <w:rFonts w:ascii="Palatino Linotype" w:eastAsia="Times New Roman" w:hAnsi="Palatino Linotype"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9D83548"/>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A526AC3"/>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F5239EB"/>
    <w:multiLevelType w:val="hybridMultilevel"/>
    <w:tmpl w:val="C59EF0B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2250056C"/>
    <w:multiLevelType w:val="hybridMultilevel"/>
    <w:tmpl w:val="0B4226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27F2346"/>
    <w:multiLevelType w:val="multilevel"/>
    <w:tmpl w:val="484E5A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6CA4CDF"/>
    <w:multiLevelType w:val="multilevel"/>
    <w:tmpl w:val="DBCE0A12"/>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color w:val="E36C0A" w:themeColor="accent6" w:themeShade="BF"/>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6" w15:restartNumberingAfterBreak="0">
    <w:nsid w:val="2AF529BD"/>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4B11F99"/>
    <w:multiLevelType w:val="hybridMultilevel"/>
    <w:tmpl w:val="C7FEF0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4E44261"/>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5F0710B"/>
    <w:multiLevelType w:val="hybridMultilevel"/>
    <w:tmpl w:val="C59EF0B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36214B33"/>
    <w:multiLevelType w:val="hybridMultilevel"/>
    <w:tmpl w:val="EFB6B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F0261E"/>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ABB4571"/>
    <w:multiLevelType w:val="hybridMultilevel"/>
    <w:tmpl w:val="7E0E8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8473F2"/>
    <w:multiLevelType w:val="hybridMultilevel"/>
    <w:tmpl w:val="9B4AF48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E766AEC"/>
    <w:multiLevelType w:val="multilevel"/>
    <w:tmpl w:val="484E5A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01B7DC6"/>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1DD6BD8"/>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3B71302"/>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B356FB9"/>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A17959"/>
    <w:multiLevelType w:val="hybridMultilevel"/>
    <w:tmpl w:val="17BC054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4D0A3481"/>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4E62489B"/>
    <w:multiLevelType w:val="hybridMultilevel"/>
    <w:tmpl w:val="925E873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50CB3923"/>
    <w:multiLevelType w:val="hybridMultilevel"/>
    <w:tmpl w:val="ED80ECAC"/>
    <w:lvl w:ilvl="0" w:tplc="A9C2FB04">
      <w:start w:val="1"/>
      <w:numFmt w:val="decimal"/>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33" w15:restartNumberingAfterBreak="0">
    <w:nsid w:val="542553FE"/>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4686E64"/>
    <w:multiLevelType w:val="hybridMultilevel"/>
    <w:tmpl w:val="A97464C0"/>
    <w:lvl w:ilvl="0" w:tplc="EE280C78">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5" w15:restartNumberingAfterBreak="0">
    <w:nsid w:val="563733B8"/>
    <w:multiLevelType w:val="hybridMultilevel"/>
    <w:tmpl w:val="A1085F0E"/>
    <w:lvl w:ilvl="0" w:tplc="7E26D6A2">
      <w:start w:val="1"/>
      <w:numFmt w:val="decimal"/>
      <w:lvlText w:val="%1."/>
      <w:lvlJc w:val="left"/>
      <w:pPr>
        <w:ind w:left="720" w:hanging="360"/>
      </w:pPr>
      <w:rPr>
        <w:rFonts w:cs="Aria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5A5E0096"/>
    <w:multiLevelType w:val="multilevel"/>
    <w:tmpl w:val="484E5A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BB5009F"/>
    <w:multiLevelType w:val="multilevel"/>
    <w:tmpl w:val="B1BC11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2052017"/>
    <w:multiLevelType w:val="multilevel"/>
    <w:tmpl w:val="26C24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39B776C"/>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4612002"/>
    <w:multiLevelType w:val="multilevel"/>
    <w:tmpl w:val="DCA407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6A4F29E1"/>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6E5B727E"/>
    <w:multiLevelType w:val="hybridMultilevel"/>
    <w:tmpl w:val="54AE0182"/>
    <w:lvl w:ilvl="0" w:tplc="07B638FC">
      <w:numFmt w:val="bullet"/>
      <w:lvlText w:val="•"/>
      <w:lvlJc w:val="left"/>
      <w:pPr>
        <w:ind w:left="1427" w:hanging="707"/>
      </w:pPr>
      <w:rPr>
        <w:rFonts w:ascii="Palatino Linotype" w:eastAsia="Times New Roman" w:hAnsi="Palatino Linotype" w:cs="Aria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3" w15:restartNumberingAfterBreak="0">
    <w:nsid w:val="71A80069"/>
    <w:multiLevelType w:val="hybridMultilevel"/>
    <w:tmpl w:val="8CE24C6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74360328"/>
    <w:multiLevelType w:val="multilevel"/>
    <w:tmpl w:val="484E5A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74867F97"/>
    <w:multiLevelType w:val="multilevel"/>
    <w:tmpl w:val="DBCE0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E36C0A" w:themeColor="accent6"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8"/>
  </w:num>
  <w:num w:numId="2">
    <w:abstractNumId w:val="4"/>
  </w:num>
  <w:num w:numId="3">
    <w:abstractNumId w:val="3"/>
  </w:num>
  <w:num w:numId="4">
    <w:abstractNumId w:val="14"/>
  </w:num>
  <w:num w:numId="5">
    <w:abstractNumId w:val="17"/>
  </w:num>
  <w:num w:numId="6">
    <w:abstractNumId w:val="31"/>
  </w:num>
  <w:num w:numId="7">
    <w:abstractNumId w:val="40"/>
  </w:num>
  <w:num w:numId="8">
    <w:abstractNumId w:val="34"/>
  </w:num>
  <w:num w:numId="9">
    <w:abstractNumId w:val="15"/>
  </w:num>
  <w:num w:numId="10">
    <w:abstractNumId w:val="2"/>
  </w:num>
  <w:num w:numId="11">
    <w:abstractNumId w:val="27"/>
  </w:num>
  <w:num w:numId="12">
    <w:abstractNumId w:val="45"/>
  </w:num>
  <w:num w:numId="13">
    <w:abstractNumId w:val="28"/>
  </w:num>
  <w:num w:numId="14">
    <w:abstractNumId w:val="39"/>
  </w:num>
  <w:num w:numId="15">
    <w:abstractNumId w:val="26"/>
  </w:num>
  <w:num w:numId="16">
    <w:abstractNumId w:val="41"/>
  </w:num>
  <w:num w:numId="17">
    <w:abstractNumId w:val="10"/>
  </w:num>
  <w:num w:numId="18">
    <w:abstractNumId w:val="30"/>
  </w:num>
  <w:num w:numId="19">
    <w:abstractNumId w:val="1"/>
  </w:num>
  <w:num w:numId="20">
    <w:abstractNumId w:val="5"/>
  </w:num>
  <w:num w:numId="21">
    <w:abstractNumId w:val="33"/>
  </w:num>
  <w:num w:numId="22">
    <w:abstractNumId w:val="21"/>
  </w:num>
  <w:num w:numId="23">
    <w:abstractNumId w:val="16"/>
  </w:num>
  <w:num w:numId="24">
    <w:abstractNumId w:val="18"/>
  </w:num>
  <w:num w:numId="25">
    <w:abstractNumId w:val="0"/>
  </w:num>
  <w:num w:numId="26">
    <w:abstractNumId w:val="11"/>
  </w:num>
  <w:num w:numId="27">
    <w:abstractNumId w:val="25"/>
  </w:num>
  <w:num w:numId="28">
    <w:abstractNumId w:val="38"/>
  </w:num>
  <w:num w:numId="29">
    <w:abstractNumId w:val="37"/>
  </w:num>
  <w:num w:numId="30">
    <w:abstractNumId w:val="44"/>
  </w:num>
  <w:num w:numId="31">
    <w:abstractNumId w:val="24"/>
  </w:num>
  <w:num w:numId="32">
    <w:abstractNumId w:val="36"/>
  </w:num>
  <w:num w:numId="33">
    <w:abstractNumId w:val="29"/>
  </w:num>
  <w:num w:numId="34">
    <w:abstractNumId w:val="13"/>
  </w:num>
  <w:num w:numId="35">
    <w:abstractNumId w:val="20"/>
  </w:num>
  <w:num w:numId="36">
    <w:abstractNumId w:val="32"/>
  </w:num>
  <w:num w:numId="37">
    <w:abstractNumId w:val="35"/>
  </w:num>
  <w:num w:numId="38">
    <w:abstractNumId w:val="7"/>
    <w:lvlOverride w:ilvl="0">
      <w:startOverride w:val="1"/>
    </w:lvlOverride>
  </w:num>
  <w:num w:numId="39">
    <w:abstractNumId w:val="22"/>
  </w:num>
  <w:num w:numId="40">
    <w:abstractNumId w:val="6"/>
  </w:num>
  <w:num w:numId="41">
    <w:abstractNumId w:val="9"/>
  </w:num>
  <w:num w:numId="42">
    <w:abstractNumId w:val="42"/>
  </w:num>
  <w:num w:numId="43">
    <w:abstractNumId w:val="23"/>
  </w:num>
  <w:num w:numId="44">
    <w:abstractNumId w:val="19"/>
  </w:num>
  <w:num w:numId="45">
    <w:abstractNumId w:val="12"/>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C2"/>
    <w:rsid w:val="0000218E"/>
    <w:rsid w:val="00003940"/>
    <w:rsid w:val="00003C6F"/>
    <w:rsid w:val="00004F1C"/>
    <w:rsid w:val="00006452"/>
    <w:rsid w:val="00006CBE"/>
    <w:rsid w:val="000074E2"/>
    <w:rsid w:val="00007AEF"/>
    <w:rsid w:val="00011485"/>
    <w:rsid w:val="0001241D"/>
    <w:rsid w:val="000147A7"/>
    <w:rsid w:val="00015763"/>
    <w:rsid w:val="00016B4B"/>
    <w:rsid w:val="000178AC"/>
    <w:rsid w:val="0002161C"/>
    <w:rsid w:val="00023D15"/>
    <w:rsid w:val="00024D11"/>
    <w:rsid w:val="000251F1"/>
    <w:rsid w:val="00027B2C"/>
    <w:rsid w:val="000308F1"/>
    <w:rsid w:val="00034FA0"/>
    <w:rsid w:val="00040180"/>
    <w:rsid w:val="000407EF"/>
    <w:rsid w:val="00041E7F"/>
    <w:rsid w:val="00041EA9"/>
    <w:rsid w:val="000423E7"/>
    <w:rsid w:val="000424AC"/>
    <w:rsid w:val="00042BF4"/>
    <w:rsid w:val="00045D10"/>
    <w:rsid w:val="00045EAA"/>
    <w:rsid w:val="00046602"/>
    <w:rsid w:val="00047F05"/>
    <w:rsid w:val="0005105C"/>
    <w:rsid w:val="000546DB"/>
    <w:rsid w:val="00054877"/>
    <w:rsid w:val="0005552C"/>
    <w:rsid w:val="00055589"/>
    <w:rsid w:val="000562B5"/>
    <w:rsid w:val="00056AA8"/>
    <w:rsid w:val="00056CA7"/>
    <w:rsid w:val="00060FF1"/>
    <w:rsid w:val="00063689"/>
    <w:rsid w:val="00063AB8"/>
    <w:rsid w:val="00064000"/>
    <w:rsid w:val="00071C87"/>
    <w:rsid w:val="00072842"/>
    <w:rsid w:val="000730EA"/>
    <w:rsid w:val="00073264"/>
    <w:rsid w:val="00074A1E"/>
    <w:rsid w:val="00075E01"/>
    <w:rsid w:val="00076018"/>
    <w:rsid w:val="0007622B"/>
    <w:rsid w:val="0008049E"/>
    <w:rsid w:val="000805C1"/>
    <w:rsid w:val="0008113B"/>
    <w:rsid w:val="00081331"/>
    <w:rsid w:val="00082F98"/>
    <w:rsid w:val="00083530"/>
    <w:rsid w:val="00083AF2"/>
    <w:rsid w:val="00085CB3"/>
    <w:rsid w:val="00087CEC"/>
    <w:rsid w:val="00091CFA"/>
    <w:rsid w:val="0009261B"/>
    <w:rsid w:val="00094C47"/>
    <w:rsid w:val="00096B3F"/>
    <w:rsid w:val="00096B4A"/>
    <w:rsid w:val="000973A4"/>
    <w:rsid w:val="000973E3"/>
    <w:rsid w:val="000A0BAB"/>
    <w:rsid w:val="000A1EA0"/>
    <w:rsid w:val="000A25A1"/>
    <w:rsid w:val="000A5CAE"/>
    <w:rsid w:val="000A6133"/>
    <w:rsid w:val="000B2317"/>
    <w:rsid w:val="000B30E5"/>
    <w:rsid w:val="000B3C24"/>
    <w:rsid w:val="000B5684"/>
    <w:rsid w:val="000B67A1"/>
    <w:rsid w:val="000B6EF7"/>
    <w:rsid w:val="000B7A43"/>
    <w:rsid w:val="000C2746"/>
    <w:rsid w:val="000C28D2"/>
    <w:rsid w:val="000C2AED"/>
    <w:rsid w:val="000C3E51"/>
    <w:rsid w:val="000C5067"/>
    <w:rsid w:val="000C5F21"/>
    <w:rsid w:val="000C7AA1"/>
    <w:rsid w:val="000C7FA5"/>
    <w:rsid w:val="000D004D"/>
    <w:rsid w:val="000D3CA7"/>
    <w:rsid w:val="000D4FCF"/>
    <w:rsid w:val="000D5EFA"/>
    <w:rsid w:val="000E566D"/>
    <w:rsid w:val="000E7AC7"/>
    <w:rsid w:val="000F0A88"/>
    <w:rsid w:val="000F1259"/>
    <w:rsid w:val="000F2BCA"/>
    <w:rsid w:val="000F41C5"/>
    <w:rsid w:val="000F5D20"/>
    <w:rsid w:val="000F61F6"/>
    <w:rsid w:val="00100435"/>
    <w:rsid w:val="00100B41"/>
    <w:rsid w:val="00100FAF"/>
    <w:rsid w:val="001050BA"/>
    <w:rsid w:val="0010718F"/>
    <w:rsid w:val="00107FE1"/>
    <w:rsid w:val="001104CF"/>
    <w:rsid w:val="001110DB"/>
    <w:rsid w:val="00113D43"/>
    <w:rsid w:val="00113E83"/>
    <w:rsid w:val="00115295"/>
    <w:rsid w:val="00115AC3"/>
    <w:rsid w:val="00115CC3"/>
    <w:rsid w:val="00116A77"/>
    <w:rsid w:val="001177C2"/>
    <w:rsid w:val="001205E9"/>
    <w:rsid w:val="00125893"/>
    <w:rsid w:val="001269D2"/>
    <w:rsid w:val="001313BA"/>
    <w:rsid w:val="001318C8"/>
    <w:rsid w:val="0013388C"/>
    <w:rsid w:val="00134C23"/>
    <w:rsid w:val="001361C2"/>
    <w:rsid w:val="0013697D"/>
    <w:rsid w:val="0014017D"/>
    <w:rsid w:val="00140587"/>
    <w:rsid w:val="001411D5"/>
    <w:rsid w:val="00141A51"/>
    <w:rsid w:val="00142303"/>
    <w:rsid w:val="00142A92"/>
    <w:rsid w:val="001471BB"/>
    <w:rsid w:val="00150572"/>
    <w:rsid w:val="001506B0"/>
    <w:rsid w:val="001508EE"/>
    <w:rsid w:val="001510D7"/>
    <w:rsid w:val="001512A7"/>
    <w:rsid w:val="00151392"/>
    <w:rsid w:val="00151734"/>
    <w:rsid w:val="0015202C"/>
    <w:rsid w:val="00152916"/>
    <w:rsid w:val="00152E07"/>
    <w:rsid w:val="00153277"/>
    <w:rsid w:val="00155E17"/>
    <w:rsid w:val="00156CE7"/>
    <w:rsid w:val="0015783D"/>
    <w:rsid w:val="00160CBC"/>
    <w:rsid w:val="0016100F"/>
    <w:rsid w:val="00163607"/>
    <w:rsid w:val="00163907"/>
    <w:rsid w:val="001639CD"/>
    <w:rsid w:val="00164E40"/>
    <w:rsid w:val="00165A7C"/>
    <w:rsid w:val="0016677B"/>
    <w:rsid w:val="00166A6E"/>
    <w:rsid w:val="001722EC"/>
    <w:rsid w:val="00172394"/>
    <w:rsid w:val="00172562"/>
    <w:rsid w:val="001731C1"/>
    <w:rsid w:val="001733DE"/>
    <w:rsid w:val="00173AE8"/>
    <w:rsid w:val="00174300"/>
    <w:rsid w:val="00174C28"/>
    <w:rsid w:val="00176CF0"/>
    <w:rsid w:val="00176F25"/>
    <w:rsid w:val="00177477"/>
    <w:rsid w:val="001805AB"/>
    <w:rsid w:val="001805BF"/>
    <w:rsid w:val="00180D67"/>
    <w:rsid w:val="00181178"/>
    <w:rsid w:val="00181182"/>
    <w:rsid w:val="00183E60"/>
    <w:rsid w:val="001854F4"/>
    <w:rsid w:val="0018751F"/>
    <w:rsid w:val="001904DC"/>
    <w:rsid w:val="00191EDD"/>
    <w:rsid w:val="00192E6A"/>
    <w:rsid w:val="00194A06"/>
    <w:rsid w:val="001952AA"/>
    <w:rsid w:val="001A00F2"/>
    <w:rsid w:val="001A0437"/>
    <w:rsid w:val="001A08BB"/>
    <w:rsid w:val="001A113F"/>
    <w:rsid w:val="001A1719"/>
    <w:rsid w:val="001A17E0"/>
    <w:rsid w:val="001A20AD"/>
    <w:rsid w:val="001A25F9"/>
    <w:rsid w:val="001A27E9"/>
    <w:rsid w:val="001A47A6"/>
    <w:rsid w:val="001A55F3"/>
    <w:rsid w:val="001A572F"/>
    <w:rsid w:val="001A593E"/>
    <w:rsid w:val="001A611D"/>
    <w:rsid w:val="001A7553"/>
    <w:rsid w:val="001B1527"/>
    <w:rsid w:val="001B1E0F"/>
    <w:rsid w:val="001B22F6"/>
    <w:rsid w:val="001B427E"/>
    <w:rsid w:val="001B581F"/>
    <w:rsid w:val="001B5B9B"/>
    <w:rsid w:val="001B63B1"/>
    <w:rsid w:val="001B7415"/>
    <w:rsid w:val="001B76C5"/>
    <w:rsid w:val="001B78A7"/>
    <w:rsid w:val="001C17E2"/>
    <w:rsid w:val="001C40C7"/>
    <w:rsid w:val="001C5DD2"/>
    <w:rsid w:val="001C6061"/>
    <w:rsid w:val="001C64F2"/>
    <w:rsid w:val="001C6A2E"/>
    <w:rsid w:val="001C78DA"/>
    <w:rsid w:val="001D1319"/>
    <w:rsid w:val="001D1918"/>
    <w:rsid w:val="001D2816"/>
    <w:rsid w:val="001D3278"/>
    <w:rsid w:val="001D35E3"/>
    <w:rsid w:val="001D4D88"/>
    <w:rsid w:val="001D5464"/>
    <w:rsid w:val="001D6F92"/>
    <w:rsid w:val="001D74DD"/>
    <w:rsid w:val="001D7BEA"/>
    <w:rsid w:val="001D7CD9"/>
    <w:rsid w:val="001E0D65"/>
    <w:rsid w:val="001E2054"/>
    <w:rsid w:val="001E2314"/>
    <w:rsid w:val="001E3FD0"/>
    <w:rsid w:val="001E48E2"/>
    <w:rsid w:val="001E6FEC"/>
    <w:rsid w:val="001E72AF"/>
    <w:rsid w:val="001F22AB"/>
    <w:rsid w:val="001F3AED"/>
    <w:rsid w:val="001F5038"/>
    <w:rsid w:val="001F7CD2"/>
    <w:rsid w:val="002011CF"/>
    <w:rsid w:val="0020120F"/>
    <w:rsid w:val="002064B1"/>
    <w:rsid w:val="00207068"/>
    <w:rsid w:val="00210E89"/>
    <w:rsid w:val="00211355"/>
    <w:rsid w:val="0021138A"/>
    <w:rsid w:val="00214F06"/>
    <w:rsid w:val="002167F1"/>
    <w:rsid w:val="002176AF"/>
    <w:rsid w:val="002206DB"/>
    <w:rsid w:val="002237AA"/>
    <w:rsid w:val="00227472"/>
    <w:rsid w:val="0023011E"/>
    <w:rsid w:val="002319BD"/>
    <w:rsid w:val="0023290D"/>
    <w:rsid w:val="00232FAC"/>
    <w:rsid w:val="0023366A"/>
    <w:rsid w:val="002341CB"/>
    <w:rsid w:val="002352F4"/>
    <w:rsid w:val="00237A8B"/>
    <w:rsid w:val="002407B9"/>
    <w:rsid w:val="00240F94"/>
    <w:rsid w:val="00241B2F"/>
    <w:rsid w:val="00243F11"/>
    <w:rsid w:val="00244EA9"/>
    <w:rsid w:val="00245214"/>
    <w:rsid w:val="002463F5"/>
    <w:rsid w:val="00250246"/>
    <w:rsid w:val="002535A3"/>
    <w:rsid w:val="00253B21"/>
    <w:rsid w:val="0025581F"/>
    <w:rsid w:val="0025635B"/>
    <w:rsid w:val="00257B88"/>
    <w:rsid w:val="002621BC"/>
    <w:rsid w:val="002628C7"/>
    <w:rsid w:val="00263277"/>
    <w:rsid w:val="00264FB6"/>
    <w:rsid w:val="00267172"/>
    <w:rsid w:val="002710AF"/>
    <w:rsid w:val="00272270"/>
    <w:rsid w:val="00273CDB"/>
    <w:rsid w:val="00274307"/>
    <w:rsid w:val="00274AEC"/>
    <w:rsid w:val="00276165"/>
    <w:rsid w:val="00276537"/>
    <w:rsid w:val="002828C4"/>
    <w:rsid w:val="0028604A"/>
    <w:rsid w:val="002869BB"/>
    <w:rsid w:val="00286F70"/>
    <w:rsid w:val="00287B99"/>
    <w:rsid w:val="00287CA8"/>
    <w:rsid w:val="0029250B"/>
    <w:rsid w:val="002940DE"/>
    <w:rsid w:val="0029619A"/>
    <w:rsid w:val="00297565"/>
    <w:rsid w:val="002A05F1"/>
    <w:rsid w:val="002A0AA5"/>
    <w:rsid w:val="002A0B66"/>
    <w:rsid w:val="002A1D36"/>
    <w:rsid w:val="002A3FE0"/>
    <w:rsid w:val="002A52CD"/>
    <w:rsid w:val="002A5944"/>
    <w:rsid w:val="002A6A28"/>
    <w:rsid w:val="002A6A3D"/>
    <w:rsid w:val="002A7185"/>
    <w:rsid w:val="002B0A42"/>
    <w:rsid w:val="002B1C84"/>
    <w:rsid w:val="002B53B4"/>
    <w:rsid w:val="002B7063"/>
    <w:rsid w:val="002B75D5"/>
    <w:rsid w:val="002B781D"/>
    <w:rsid w:val="002C138C"/>
    <w:rsid w:val="002C3641"/>
    <w:rsid w:val="002C3CC9"/>
    <w:rsid w:val="002C5694"/>
    <w:rsid w:val="002C656D"/>
    <w:rsid w:val="002C71B3"/>
    <w:rsid w:val="002C7499"/>
    <w:rsid w:val="002D07BC"/>
    <w:rsid w:val="002D07D8"/>
    <w:rsid w:val="002D1824"/>
    <w:rsid w:val="002D1AC7"/>
    <w:rsid w:val="002D23DA"/>
    <w:rsid w:val="002D2F13"/>
    <w:rsid w:val="002D33D2"/>
    <w:rsid w:val="002D4736"/>
    <w:rsid w:val="002D7BE2"/>
    <w:rsid w:val="002E1057"/>
    <w:rsid w:val="002E1976"/>
    <w:rsid w:val="002E253D"/>
    <w:rsid w:val="002E2CE9"/>
    <w:rsid w:val="002E3897"/>
    <w:rsid w:val="002E48BD"/>
    <w:rsid w:val="002F0418"/>
    <w:rsid w:val="002F0AB7"/>
    <w:rsid w:val="002F0CB7"/>
    <w:rsid w:val="002F1544"/>
    <w:rsid w:val="002F3F6C"/>
    <w:rsid w:val="002F68DB"/>
    <w:rsid w:val="002F6D16"/>
    <w:rsid w:val="002F7538"/>
    <w:rsid w:val="002F7AB1"/>
    <w:rsid w:val="00302F99"/>
    <w:rsid w:val="00303EA2"/>
    <w:rsid w:val="00304243"/>
    <w:rsid w:val="00305988"/>
    <w:rsid w:val="003062BC"/>
    <w:rsid w:val="00311CA3"/>
    <w:rsid w:val="0031571A"/>
    <w:rsid w:val="00315AC6"/>
    <w:rsid w:val="0032280F"/>
    <w:rsid w:val="00322AF3"/>
    <w:rsid w:val="00322EE4"/>
    <w:rsid w:val="00324BEB"/>
    <w:rsid w:val="00326875"/>
    <w:rsid w:val="00332CA5"/>
    <w:rsid w:val="00332D39"/>
    <w:rsid w:val="003345F9"/>
    <w:rsid w:val="0033491D"/>
    <w:rsid w:val="00335278"/>
    <w:rsid w:val="003353FE"/>
    <w:rsid w:val="00336633"/>
    <w:rsid w:val="00336733"/>
    <w:rsid w:val="00336C1C"/>
    <w:rsid w:val="00337403"/>
    <w:rsid w:val="00337DD8"/>
    <w:rsid w:val="00340001"/>
    <w:rsid w:val="00340655"/>
    <w:rsid w:val="003408BD"/>
    <w:rsid w:val="00340BF8"/>
    <w:rsid w:val="00341D7A"/>
    <w:rsid w:val="00343261"/>
    <w:rsid w:val="0034702B"/>
    <w:rsid w:val="003470B2"/>
    <w:rsid w:val="00347B7E"/>
    <w:rsid w:val="00350876"/>
    <w:rsid w:val="003511D2"/>
    <w:rsid w:val="0035135E"/>
    <w:rsid w:val="003518D1"/>
    <w:rsid w:val="00351A59"/>
    <w:rsid w:val="00352D42"/>
    <w:rsid w:val="00353DC3"/>
    <w:rsid w:val="003546B0"/>
    <w:rsid w:val="003547D6"/>
    <w:rsid w:val="00356869"/>
    <w:rsid w:val="00360549"/>
    <w:rsid w:val="00364867"/>
    <w:rsid w:val="003712D3"/>
    <w:rsid w:val="0037151F"/>
    <w:rsid w:val="003721CA"/>
    <w:rsid w:val="003743FC"/>
    <w:rsid w:val="003746CE"/>
    <w:rsid w:val="00374EDE"/>
    <w:rsid w:val="003750D2"/>
    <w:rsid w:val="003760B2"/>
    <w:rsid w:val="00377676"/>
    <w:rsid w:val="00381955"/>
    <w:rsid w:val="003824B1"/>
    <w:rsid w:val="0038447E"/>
    <w:rsid w:val="0038497F"/>
    <w:rsid w:val="00384BA3"/>
    <w:rsid w:val="00384CCB"/>
    <w:rsid w:val="003869DE"/>
    <w:rsid w:val="003869FE"/>
    <w:rsid w:val="003877D3"/>
    <w:rsid w:val="00392202"/>
    <w:rsid w:val="00394B9E"/>
    <w:rsid w:val="00395F62"/>
    <w:rsid w:val="00396164"/>
    <w:rsid w:val="003A1C88"/>
    <w:rsid w:val="003A2731"/>
    <w:rsid w:val="003A2AC6"/>
    <w:rsid w:val="003A327B"/>
    <w:rsid w:val="003A5C7C"/>
    <w:rsid w:val="003A6DBA"/>
    <w:rsid w:val="003A6E0D"/>
    <w:rsid w:val="003B027B"/>
    <w:rsid w:val="003B1942"/>
    <w:rsid w:val="003B38C9"/>
    <w:rsid w:val="003B3A40"/>
    <w:rsid w:val="003B4B3F"/>
    <w:rsid w:val="003B60DE"/>
    <w:rsid w:val="003B6448"/>
    <w:rsid w:val="003B7F45"/>
    <w:rsid w:val="003C027E"/>
    <w:rsid w:val="003C2A1C"/>
    <w:rsid w:val="003C3733"/>
    <w:rsid w:val="003C39F2"/>
    <w:rsid w:val="003C3FD0"/>
    <w:rsid w:val="003C4034"/>
    <w:rsid w:val="003C4176"/>
    <w:rsid w:val="003C44D2"/>
    <w:rsid w:val="003C4975"/>
    <w:rsid w:val="003C4A75"/>
    <w:rsid w:val="003C53C6"/>
    <w:rsid w:val="003C6853"/>
    <w:rsid w:val="003C731B"/>
    <w:rsid w:val="003C7B78"/>
    <w:rsid w:val="003D181A"/>
    <w:rsid w:val="003D2126"/>
    <w:rsid w:val="003D2A7D"/>
    <w:rsid w:val="003D319E"/>
    <w:rsid w:val="003D33CA"/>
    <w:rsid w:val="003D33E6"/>
    <w:rsid w:val="003D4763"/>
    <w:rsid w:val="003D56DE"/>
    <w:rsid w:val="003E050B"/>
    <w:rsid w:val="003E2327"/>
    <w:rsid w:val="003E252B"/>
    <w:rsid w:val="003E298E"/>
    <w:rsid w:val="003E2DC5"/>
    <w:rsid w:val="003E3733"/>
    <w:rsid w:val="003E4954"/>
    <w:rsid w:val="003E53D7"/>
    <w:rsid w:val="003E5E90"/>
    <w:rsid w:val="003E63EB"/>
    <w:rsid w:val="003E6FBF"/>
    <w:rsid w:val="003F0067"/>
    <w:rsid w:val="003F1ABC"/>
    <w:rsid w:val="003F2208"/>
    <w:rsid w:val="003F3F91"/>
    <w:rsid w:val="003F4B28"/>
    <w:rsid w:val="003F5848"/>
    <w:rsid w:val="003F61BF"/>
    <w:rsid w:val="003F6CB5"/>
    <w:rsid w:val="004000F5"/>
    <w:rsid w:val="004000F9"/>
    <w:rsid w:val="00400EFE"/>
    <w:rsid w:val="00401216"/>
    <w:rsid w:val="00403290"/>
    <w:rsid w:val="00403BC0"/>
    <w:rsid w:val="00403CF6"/>
    <w:rsid w:val="00404187"/>
    <w:rsid w:val="004045B7"/>
    <w:rsid w:val="004059FB"/>
    <w:rsid w:val="00405FFA"/>
    <w:rsid w:val="004068F3"/>
    <w:rsid w:val="00407501"/>
    <w:rsid w:val="00407AAB"/>
    <w:rsid w:val="0041077F"/>
    <w:rsid w:val="004142D9"/>
    <w:rsid w:val="00414ACD"/>
    <w:rsid w:val="00414E09"/>
    <w:rsid w:val="00415193"/>
    <w:rsid w:val="00415A28"/>
    <w:rsid w:val="004161CD"/>
    <w:rsid w:val="004166C3"/>
    <w:rsid w:val="00417D6E"/>
    <w:rsid w:val="0042094D"/>
    <w:rsid w:val="00421BC8"/>
    <w:rsid w:val="00422544"/>
    <w:rsid w:val="004225C9"/>
    <w:rsid w:val="004226AA"/>
    <w:rsid w:val="0042309B"/>
    <w:rsid w:val="00423CE0"/>
    <w:rsid w:val="004249DE"/>
    <w:rsid w:val="00427009"/>
    <w:rsid w:val="0042704E"/>
    <w:rsid w:val="00427E74"/>
    <w:rsid w:val="00430AE7"/>
    <w:rsid w:val="00430C61"/>
    <w:rsid w:val="00431685"/>
    <w:rsid w:val="00432181"/>
    <w:rsid w:val="0043224C"/>
    <w:rsid w:val="004325F1"/>
    <w:rsid w:val="004331DA"/>
    <w:rsid w:val="00434934"/>
    <w:rsid w:val="00434B91"/>
    <w:rsid w:val="00434C6B"/>
    <w:rsid w:val="004353D3"/>
    <w:rsid w:val="0043585D"/>
    <w:rsid w:val="00435974"/>
    <w:rsid w:val="00435B56"/>
    <w:rsid w:val="00435C3D"/>
    <w:rsid w:val="0043606D"/>
    <w:rsid w:val="004365E3"/>
    <w:rsid w:val="004373C5"/>
    <w:rsid w:val="00437932"/>
    <w:rsid w:val="00440B62"/>
    <w:rsid w:val="004419D8"/>
    <w:rsid w:val="004455D9"/>
    <w:rsid w:val="00445A49"/>
    <w:rsid w:val="00454B10"/>
    <w:rsid w:val="00455DF5"/>
    <w:rsid w:val="004574FF"/>
    <w:rsid w:val="004600AA"/>
    <w:rsid w:val="00461878"/>
    <w:rsid w:val="00464BFD"/>
    <w:rsid w:val="00464DF4"/>
    <w:rsid w:val="0046576A"/>
    <w:rsid w:val="00465D44"/>
    <w:rsid w:val="00466876"/>
    <w:rsid w:val="00467E53"/>
    <w:rsid w:val="00471F4D"/>
    <w:rsid w:val="00472793"/>
    <w:rsid w:val="00473027"/>
    <w:rsid w:val="00473BB3"/>
    <w:rsid w:val="00481C3E"/>
    <w:rsid w:val="00482E97"/>
    <w:rsid w:val="004837F1"/>
    <w:rsid w:val="004853DC"/>
    <w:rsid w:val="00486D8D"/>
    <w:rsid w:val="0048719E"/>
    <w:rsid w:val="004874B4"/>
    <w:rsid w:val="00487694"/>
    <w:rsid w:val="00487C52"/>
    <w:rsid w:val="00490227"/>
    <w:rsid w:val="00490BB1"/>
    <w:rsid w:val="00492010"/>
    <w:rsid w:val="00492640"/>
    <w:rsid w:val="00492E06"/>
    <w:rsid w:val="0049351E"/>
    <w:rsid w:val="004939B6"/>
    <w:rsid w:val="00493FA9"/>
    <w:rsid w:val="004940EB"/>
    <w:rsid w:val="00494177"/>
    <w:rsid w:val="00494B50"/>
    <w:rsid w:val="0049552B"/>
    <w:rsid w:val="004965EC"/>
    <w:rsid w:val="004977E3"/>
    <w:rsid w:val="00497C35"/>
    <w:rsid w:val="004A0869"/>
    <w:rsid w:val="004A3A8E"/>
    <w:rsid w:val="004A50D3"/>
    <w:rsid w:val="004A55D0"/>
    <w:rsid w:val="004A6B96"/>
    <w:rsid w:val="004B0613"/>
    <w:rsid w:val="004B0CEE"/>
    <w:rsid w:val="004B199B"/>
    <w:rsid w:val="004B1BD1"/>
    <w:rsid w:val="004B2F3D"/>
    <w:rsid w:val="004B39F8"/>
    <w:rsid w:val="004B407B"/>
    <w:rsid w:val="004B5398"/>
    <w:rsid w:val="004B58F7"/>
    <w:rsid w:val="004B5ADA"/>
    <w:rsid w:val="004B5E3A"/>
    <w:rsid w:val="004B5E53"/>
    <w:rsid w:val="004B650D"/>
    <w:rsid w:val="004B6869"/>
    <w:rsid w:val="004B6AC9"/>
    <w:rsid w:val="004B6EBC"/>
    <w:rsid w:val="004C0FD3"/>
    <w:rsid w:val="004C1B33"/>
    <w:rsid w:val="004C26DD"/>
    <w:rsid w:val="004C3A31"/>
    <w:rsid w:val="004C72BE"/>
    <w:rsid w:val="004C7E1D"/>
    <w:rsid w:val="004D2C5A"/>
    <w:rsid w:val="004D3EE0"/>
    <w:rsid w:val="004D4796"/>
    <w:rsid w:val="004D4CEC"/>
    <w:rsid w:val="004D4D58"/>
    <w:rsid w:val="004D55AE"/>
    <w:rsid w:val="004E055D"/>
    <w:rsid w:val="004E214A"/>
    <w:rsid w:val="004E2A59"/>
    <w:rsid w:val="004E3F45"/>
    <w:rsid w:val="004E514D"/>
    <w:rsid w:val="004E5154"/>
    <w:rsid w:val="004E6098"/>
    <w:rsid w:val="004E6FCD"/>
    <w:rsid w:val="004F314E"/>
    <w:rsid w:val="004F3CDF"/>
    <w:rsid w:val="004F73DE"/>
    <w:rsid w:val="004F73E7"/>
    <w:rsid w:val="004F77AE"/>
    <w:rsid w:val="004F77C5"/>
    <w:rsid w:val="004F7A4F"/>
    <w:rsid w:val="00501500"/>
    <w:rsid w:val="00501F29"/>
    <w:rsid w:val="00502F1A"/>
    <w:rsid w:val="0050333F"/>
    <w:rsid w:val="00503D62"/>
    <w:rsid w:val="00505003"/>
    <w:rsid w:val="0050507D"/>
    <w:rsid w:val="0050626C"/>
    <w:rsid w:val="005071B8"/>
    <w:rsid w:val="005100DA"/>
    <w:rsid w:val="00510DA4"/>
    <w:rsid w:val="005131E5"/>
    <w:rsid w:val="00514629"/>
    <w:rsid w:val="00516441"/>
    <w:rsid w:val="005171DB"/>
    <w:rsid w:val="0051787A"/>
    <w:rsid w:val="0052179F"/>
    <w:rsid w:val="00523272"/>
    <w:rsid w:val="005239F2"/>
    <w:rsid w:val="00525537"/>
    <w:rsid w:val="00527916"/>
    <w:rsid w:val="00527935"/>
    <w:rsid w:val="00532042"/>
    <w:rsid w:val="0053208A"/>
    <w:rsid w:val="00534761"/>
    <w:rsid w:val="00534C88"/>
    <w:rsid w:val="005374E2"/>
    <w:rsid w:val="005426A8"/>
    <w:rsid w:val="0054317D"/>
    <w:rsid w:val="005434C0"/>
    <w:rsid w:val="005441D9"/>
    <w:rsid w:val="00545C77"/>
    <w:rsid w:val="005528D5"/>
    <w:rsid w:val="00552E66"/>
    <w:rsid w:val="00556153"/>
    <w:rsid w:val="00556549"/>
    <w:rsid w:val="00557471"/>
    <w:rsid w:val="00560425"/>
    <w:rsid w:val="00560C39"/>
    <w:rsid w:val="00560C86"/>
    <w:rsid w:val="00561290"/>
    <w:rsid w:val="00561B72"/>
    <w:rsid w:val="005635A8"/>
    <w:rsid w:val="0056374E"/>
    <w:rsid w:val="00563B96"/>
    <w:rsid w:val="00565C4E"/>
    <w:rsid w:val="00566C6E"/>
    <w:rsid w:val="00566CAA"/>
    <w:rsid w:val="00566EBC"/>
    <w:rsid w:val="00567EFB"/>
    <w:rsid w:val="00570743"/>
    <w:rsid w:val="005710B8"/>
    <w:rsid w:val="00573E67"/>
    <w:rsid w:val="00574264"/>
    <w:rsid w:val="00575A76"/>
    <w:rsid w:val="00576327"/>
    <w:rsid w:val="005765BC"/>
    <w:rsid w:val="00576D11"/>
    <w:rsid w:val="00577C39"/>
    <w:rsid w:val="00583C0F"/>
    <w:rsid w:val="00592F71"/>
    <w:rsid w:val="00593DF6"/>
    <w:rsid w:val="005941FA"/>
    <w:rsid w:val="0059440B"/>
    <w:rsid w:val="00595057"/>
    <w:rsid w:val="00595F2D"/>
    <w:rsid w:val="005968AC"/>
    <w:rsid w:val="00596DDF"/>
    <w:rsid w:val="005A080E"/>
    <w:rsid w:val="005A0B59"/>
    <w:rsid w:val="005A0C24"/>
    <w:rsid w:val="005A1ABD"/>
    <w:rsid w:val="005A1FE8"/>
    <w:rsid w:val="005A44B2"/>
    <w:rsid w:val="005A4972"/>
    <w:rsid w:val="005A4F7E"/>
    <w:rsid w:val="005A5FC1"/>
    <w:rsid w:val="005B16BA"/>
    <w:rsid w:val="005B2DFE"/>
    <w:rsid w:val="005B3ECD"/>
    <w:rsid w:val="005B5A53"/>
    <w:rsid w:val="005B7F75"/>
    <w:rsid w:val="005C0558"/>
    <w:rsid w:val="005C2A17"/>
    <w:rsid w:val="005C4A07"/>
    <w:rsid w:val="005C5598"/>
    <w:rsid w:val="005C792E"/>
    <w:rsid w:val="005D0360"/>
    <w:rsid w:val="005D0746"/>
    <w:rsid w:val="005D0F19"/>
    <w:rsid w:val="005D2548"/>
    <w:rsid w:val="005D266E"/>
    <w:rsid w:val="005D498D"/>
    <w:rsid w:val="005D5525"/>
    <w:rsid w:val="005D7254"/>
    <w:rsid w:val="005D726F"/>
    <w:rsid w:val="005D7C93"/>
    <w:rsid w:val="005E2C70"/>
    <w:rsid w:val="005E31E8"/>
    <w:rsid w:val="005E3D8F"/>
    <w:rsid w:val="005E40EA"/>
    <w:rsid w:val="005E55E1"/>
    <w:rsid w:val="005E5969"/>
    <w:rsid w:val="005E5BB1"/>
    <w:rsid w:val="005E6B2E"/>
    <w:rsid w:val="005F0C2A"/>
    <w:rsid w:val="005F17B6"/>
    <w:rsid w:val="005F3287"/>
    <w:rsid w:val="005F3BE5"/>
    <w:rsid w:val="005F522C"/>
    <w:rsid w:val="005F6899"/>
    <w:rsid w:val="005F7784"/>
    <w:rsid w:val="00606E15"/>
    <w:rsid w:val="00610334"/>
    <w:rsid w:val="006103BF"/>
    <w:rsid w:val="00610C12"/>
    <w:rsid w:val="00611B39"/>
    <w:rsid w:val="00612192"/>
    <w:rsid w:val="00612222"/>
    <w:rsid w:val="00613692"/>
    <w:rsid w:val="006144A5"/>
    <w:rsid w:val="00614B9B"/>
    <w:rsid w:val="006200E0"/>
    <w:rsid w:val="0062018F"/>
    <w:rsid w:val="00623064"/>
    <w:rsid w:val="0062463A"/>
    <w:rsid w:val="00631BC2"/>
    <w:rsid w:val="00634283"/>
    <w:rsid w:val="00635A32"/>
    <w:rsid w:val="006370DE"/>
    <w:rsid w:val="006375B7"/>
    <w:rsid w:val="00640831"/>
    <w:rsid w:val="00643B38"/>
    <w:rsid w:val="006442F1"/>
    <w:rsid w:val="00644F51"/>
    <w:rsid w:val="00647838"/>
    <w:rsid w:val="006509C5"/>
    <w:rsid w:val="006518AE"/>
    <w:rsid w:val="00651B14"/>
    <w:rsid w:val="00652A7F"/>
    <w:rsid w:val="00653F3B"/>
    <w:rsid w:val="0065485D"/>
    <w:rsid w:val="0065573B"/>
    <w:rsid w:val="00655AA7"/>
    <w:rsid w:val="00655C25"/>
    <w:rsid w:val="00655C35"/>
    <w:rsid w:val="00656D17"/>
    <w:rsid w:val="00657BB1"/>
    <w:rsid w:val="00657BE7"/>
    <w:rsid w:val="00657EC7"/>
    <w:rsid w:val="0066061C"/>
    <w:rsid w:val="006611EF"/>
    <w:rsid w:val="0066313B"/>
    <w:rsid w:val="006639D2"/>
    <w:rsid w:val="006648B8"/>
    <w:rsid w:val="00664FBB"/>
    <w:rsid w:val="00665791"/>
    <w:rsid w:val="00666873"/>
    <w:rsid w:val="006677C8"/>
    <w:rsid w:val="00670D98"/>
    <w:rsid w:val="006716BE"/>
    <w:rsid w:val="00672193"/>
    <w:rsid w:val="00672B21"/>
    <w:rsid w:val="006730AB"/>
    <w:rsid w:val="00673BDE"/>
    <w:rsid w:val="006752B9"/>
    <w:rsid w:val="00676886"/>
    <w:rsid w:val="00676AD4"/>
    <w:rsid w:val="0068021B"/>
    <w:rsid w:val="0068212F"/>
    <w:rsid w:val="006827AB"/>
    <w:rsid w:val="00685466"/>
    <w:rsid w:val="00685DB2"/>
    <w:rsid w:val="0068633C"/>
    <w:rsid w:val="00686BE2"/>
    <w:rsid w:val="00686EDC"/>
    <w:rsid w:val="0068774A"/>
    <w:rsid w:val="00691114"/>
    <w:rsid w:val="00691BCE"/>
    <w:rsid w:val="00691E00"/>
    <w:rsid w:val="006950DF"/>
    <w:rsid w:val="006955B1"/>
    <w:rsid w:val="00697521"/>
    <w:rsid w:val="006A033E"/>
    <w:rsid w:val="006A0992"/>
    <w:rsid w:val="006A0E0C"/>
    <w:rsid w:val="006A38C1"/>
    <w:rsid w:val="006A3A3C"/>
    <w:rsid w:val="006A50BD"/>
    <w:rsid w:val="006A57A0"/>
    <w:rsid w:val="006A59FC"/>
    <w:rsid w:val="006B00C5"/>
    <w:rsid w:val="006B0179"/>
    <w:rsid w:val="006B1BED"/>
    <w:rsid w:val="006B21CA"/>
    <w:rsid w:val="006B304D"/>
    <w:rsid w:val="006B3192"/>
    <w:rsid w:val="006B6E3F"/>
    <w:rsid w:val="006C01CC"/>
    <w:rsid w:val="006C0D93"/>
    <w:rsid w:val="006C28C6"/>
    <w:rsid w:val="006C313C"/>
    <w:rsid w:val="006C404A"/>
    <w:rsid w:val="006C4BDF"/>
    <w:rsid w:val="006C6EEE"/>
    <w:rsid w:val="006C7101"/>
    <w:rsid w:val="006C7FDD"/>
    <w:rsid w:val="006D108D"/>
    <w:rsid w:val="006D4583"/>
    <w:rsid w:val="006D6554"/>
    <w:rsid w:val="006D6849"/>
    <w:rsid w:val="006D6D29"/>
    <w:rsid w:val="006D7770"/>
    <w:rsid w:val="006E1688"/>
    <w:rsid w:val="006E31A2"/>
    <w:rsid w:val="006E345F"/>
    <w:rsid w:val="006E45BA"/>
    <w:rsid w:val="006E53EA"/>
    <w:rsid w:val="006E56EB"/>
    <w:rsid w:val="006E5808"/>
    <w:rsid w:val="006E5DAF"/>
    <w:rsid w:val="006E6CFA"/>
    <w:rsid w:val="006E780C"/>
    <w:rsid w:val="006F0655"/>
    <w:rsid w:val="006F09C5"/>
    <w:rsid w:val="006F18A0"/>
    <w:rsid w:val="006F233F"/>
    <w:rsid w:val="006F27D5"/>
    <w:rsid w:val="006F5F5C"/>
    <w:rsid w:val="0070060C"/>
    <w:rsid w:val="0070116A"/>
    <w:rsid w:val="0070178E"/>
    <w:rsid w:val="007027A1"/>
    <w:rsid w:val="007032A4"/>
    <w:rsid w:val="00704A66"/>
    <w:rsid w:val="0070516C"/>
    <w:rsid w:val="007053E0"/>
    <w:rsid w:val="00706D75"/>
    <w:rsid w:val="00707345"/>
    <w:rsid w:val="00710621"/>
    <w:rsid w:val="00710B41"/>
    <w:rsid w:val="00712772"/>
    <w:rsid w:val="00713CD0"/>
    <w:rsid w:val="00715555"/>
    <w:rsid w:val="00716476"/>
    <w:rsid w:val="00717CA9"/>
    <w:rsid w:val="00717CF3"/>
    <w:rsid w:val="00717D77"/>
    <w:rsid w:val="007207A4"/>
    <w:rsid w:val="00720A2A"/>
    <w:rsid w:val="00721007"/>
    <w:rsid w:val="00724A98"/>
    <w:rsid w:val="00733BF9"/>
    <w:rsid w:val="00734A96"/>
    <w:rsid w:val="00734AA1"/>
    <w:rsid w:val="00735AC4"/>
    <w:rsid w:val="00737CF2"/>
    <w:rsid w:val="00741587"/>
    <w:rsid w:val="00741DC3"/>
    <w:rsid w:val="0074421A"/>
    <w:rsid w:val="007466C5"/>
    <w:rsid w:val="00752A7A"/>
    <w:rsid w:val="00754269"/>
    <w:rsid w:val="00755B46"/>
    <w:rsid w:val="007574E2"/>
    <w:rsid w:val="007577CD"/>
    <w:rsid w:val="00760CCD"/>
    <w:rsid w:val="007611F8"/>
    <w:rsid w:val="00761536"/>
    <w:rsid w:val="00761741"/>
    <w:rsid w:val="007618E5"/>
    <w:rsid w:val="00762DDE"/>
    <w:rsid w:val="00763070"/>
    <w:rsid w:val="007635B9"/>
    <w:rsid w:val="00764A9A"/>
    <w:rsid w:val="00765F55"/>
    <w:rsid w:val="0076680D"/>
    <w:rsid w:val="00767912"/>
    <w:rsid w:val="0077330B"/>
    <w:rsid w:val="007736AB"/>
    <w:rsid w:val="00774425"/>
    <w:rsid w:val="0077480E"/>
    <w:rsid w:val="0077493D"/>
    <w:rsid w:val="007749D3"/>
    <w:rsid w:val="007778F5"/>
    <w:rsid w:val="0078247A"/>
    <w:rsid w:val="007835A6"/>
    <w:rsid w:val="007859BD"/>
    <w:rsid w:val="00790AB8"/>
    <w:rsid w:val="00790DBA"/>
    <w:rsid w:val="007920EB"/>
    <w:rsid w:val="0079384F"/>
    <w:rsid w:val="00795584"/>
    <w:rsid w:val="00795CB3"/>
    <w:rsid w:val="007966A1"/>
    <w:rsid w:val="007A1E34"/>
    <w:rsid w:val="007A671F"/>
    <w:rsid w:val="007B053B"/>
    <w:rsid w:val="007B0880"/>
    <w:rsid w:val="007B0E70"/>
    <w:rsid w:val="007B3A55"/>
    <w:rsid w:val="007B5D80"/>
    <w:rsid w:val="007B680D"/>
    <w:rsid w:val="007B7474"/>
    <w:rsid w:val="007C3538"/>
    <w:rsid w:val="007C44FD"/>
    <w:rsid w:val="007C7133"/>
    <w:rsid w:val="007D134E"/>
    <w:rsid w:val="007D1D33"/>
    <w:rsid w:val="007D31F8"/>
    <w:rsid w:val="007D483A"/>
    <w:rsid w:val="007D4E9D"/>
    <w:rsid w:val="007D612F"/>
    <w:rsid w:val="007E0A95"/>
    <w:rsid w:val="007E1865"/>
    <w:rsid w:val="007E189A"/>
    <w:rsid w:val="007E299A"/>
    <w:rsid w:val="007E2A87"/>
    <w:rsid w:val="007E32E1"/>
    <w:rsid w:val="007E511C"/>
    <w:rsid w:val="007F0169"/>
    <w:rsid w:val="007F04CC"/>
    <w:rsid w:val="007F296C"/>
    <w:rsid w:val="007F594B"/>
    <w:rsid w:val="007F6ECE"/>
    <w:rsid w:val="007F76A8"/>
    <w:rsid w:val="00800768"/>
    <w:rsid w:val="00801672"/>
    <w:rsid w:val="008021C8"/>
    <w:rsid w:val="00805CB4"/>
    <w:rsid w:val="00805EA7"/>
    <w:rsid w:val="00806857"/>
    <w:rsid w:val="00811616"/>
    <w:rsid w:val="008165CD"/>
    <w:rsid w:val="00816999"/>
    <w:rsid w:val="0082035D"/>
    <w:rsid w:val="00820F6E"/>
    <w:rsid w:val="008213FF"/>
    <w:rsid w:val="00821E2A"/>
    <w:rsid w:val="00822A2E"/>
    <w:rsid w:val="0082365D"/>
    <w:rsid w:val="0082708B"/>
    <w:rsid w:val="008279E2"/>
    <w:rsid w:val="00830215"/>
    <w:rsid w:val="00830A15"/>
    <w:rsid w:val="00831190"/>
    <w:rsid w:val="00832242"/>
    <w:rsid w:val="00832E66"/>
    <w:rsid w:val="00833E62"/>
    <w:rsid w:val="00833E74"/>
    <w:rsid w:val="00834082"/>
    <w:rsid w:val="00835C2D"/>
    <w:rsid w:val="00840986"/>
    <w:rsid w:val="00840D25"/>
    <w:rsid w:val="00841448"/>
    <w:rsid w:val="00841461"/>
    <w:rsid w:val="00843995"/>
    <w:rsid w:val="008452FC"/>
    <w:rsid w:val="00845332"/>
    <w:rsid w:val="00845C47"/>
    <w:rsid w:val="0084631A"/>
    <w:rsid w:val="00846ABF"/>
    <w:rsid w:val="00846F46"/>
    <w:rsid w:val="00851085"/>
    <w:rsid w:val="0085352C"/>
    <w:rsid w:val="0085541C"/>
    <w:rsid w:val="00855FCF"/>
    <w:rsid w:val="0085676E"/>
    <w:rsid w:val="00856778"/>
    <w:rsid w:val="00856851"/>
    <w:rsid w:val="008573E1"/>
    <w:rsid w:val="00860341"/>
    <w:rsid w:val="00860BF4"/>
    <w:rsid w:val="00862DEB"/>
    <w:rsid w:val="008632F3"/>
    <w:rsid w:val="0086525B"/>
    <w:rsid w:val="008653A8"/>
    <w:rsid w:val="008655D6"/>
    <w:rsid w:val="0086665C"/>
    <w:rsid w:val="00866E2D"/>
    <w:rsid w:val="00867537"/>
    <w:rsid w:val="00874BB1"/>
    <w:rsid w:val="00875275"/>
    <w:rsid w:val="00877697"/>
    <w:rsid w:val="00877BCB"/>
    <w:rsid w:val="0088024C"/>
    <w:rsid w:val="0088034A"/>
    <w:rsid w:val="00880530"/>
    <w:rsid w:val="008859C1"/>
    <w:rsid w:val="00890DA2"/>
    <w:rsid w:val="00890F65"/>
    <w:rsid w:val="00892608"/>
    <w:rsid w:val="0089548B"/>
    <w:rsid w:val="008957A0"/>
    <w:rsid w:val="00896139"/>
    <w:rsid w:val="008966D4"/>
    <w:rsid w:val="0089670B"/>
    <w:rsid w:val="00896DBE"/>
    <w:rsid w:val="0089725F"/>
    <w:rsid w:val="008A3137"/>
    <w:rsid w:val="008A402C"/>
    <w:rsid w:val="008A5BD1"/>
    <w:rsid w:val="008A635A"/>
    <w:rsid w:val="008A65C5"/>
    <w:rsid w:val="008A775C"/>
    <w:rsid w:val="008B005B"/>
    <w:rsid w:val="008B0995"/>
    <w:rsid w:val="008B146E"/>
    <w:rsid w:val="008B1BD9"/>
    <w:rsid w:val="008B2AEB"/>
    <w:rsid w:val="008B4580"/>
    <w:rsid w:val="008B4F27"/>
    <w:rsid w:val="008B5D26"/>
    <w:rsid w:val="008B6DAA"/>
    <w:rsid w:val="008C062B"/>
    <w:rsid w:val="008C0DA2"/>
    <w:rsid w:val="008C158A"/>
    <w:rsid w:val="008C1C71"/>
    <w:rsid w:val="008C27F0"/>
    <w:rsid w:val="008C2DDF"/>
    <w:rsid w:val="008C326A"/>
    <w:rsid w:val="008C3D31"/>
    <w:rsid w:val="008C410C"/>
    <w:rsid w:val="008C4374"/>
    <w:rsid w:val="008C5A75"/>
    <w:rsid w:val="008C5B5B"/>
    <w:rsid w:val="008C65F2"/>
    <w:rsid w:val="008C6C4C"/>
    <w:rsid w:val="008D0828"/>
    <w:rsid w:val="008D0C42"/>
    <w:rsid w:val="008D0FFA"/>
    <w:rsid w:val="008D2527"/>
    <w:rsid w:val="008D3C4F"/>
    <w:rsid w:val="008D4A29"/>
    <w:rsid w:val="008D4C05"/>
    <w:rsid w:val="008D600F"/>
    <w:rsid w:val="008D7489"/>
    <w:rsid w:val="008D7EDB"/>
    <w:rsid w:val="008E1B1A"/>
    <w:rsid w:val="008E2710"/>
    <w:rsid w:val="008E2A63"/>
    <w:rsid w:val="008E57B4"/>
    <w:rsid w:val="008E6477"/>
    <w:rsid w:val="008E6995"/>
    <w:rsid w:val="008E69C7"/>
    <w:rsid w:val="008E6E0E"/>
    <w:rsid w:val="008E72F4"/>
    <w:rsid w:val="008F100E"/>
    <w:rsid w:val="008F159E"/>
    <w:rsid w:val="008F20FC"/>
    <w:rsid w:val="008F466C"/>
    <w:rsid w:val="008F51C6"/>
    <w:rsid w:val="008F5E27"/>
    <w:rsid w:val="008F664C"/>
    <w:rsid w:val="008F6CEF"/>
    <w:rsid w:val="00900066"/>
    <w:rsid w:val="00900C78"/>
    <w:rsid w:val="009019CA"/>
    <w:rsid w:val="0090238B"/>
    <w:rsid w:val="00902719"/>
    <w:rsid w:val="00903055"/>
    <w:rsid w:val="00903809"/>
    <w:rsid w:val="009054B0"/>
    <w:rsid w:val="00907776"/>
    <w:rsid w:val="0091011F"/>
    <w:rsid w:val="00912641"/>
    <w:rsid w:val="0091337E"/>
    <w:rsid w:val="00913D05"/>
    <w:rsid w:val="00913E8F"/>
    <w:rsid w:val="00914B76"/>
    <w:rsid w:val="009170F2"/>
    <w:rsid w:val="009206BD"/>
    <w:rsid w:val="00920F90"/>
    <w:rsid w:val="00922F64"/>
    <w:rsid w:val="009231BA"/>
    <w:rsid w:val="00923A74"/>
    <w:rsid w:val="009246B3"/>
    <w:rsid w:val="00925803"/>
    <w:rsid w:val="009272EF"/>
    <w:rsid w:val="0093284A"/>
    <w:rsid w:val="00932CAF"/>
    <w:rsid w:val="00935551"/>
    <w:rsid w:val="009357B9"/>
    <w:rsid w:val="009368DA"/>
    <w:rsid w:val="009373F1"/>
    <w:rsid w:val="009401DD"/>
    <w:rsid w:val="00940F0F"/>
    <w:rsid w:val="009416D0"/>
    <w:rsid w:val="00942A63"/>
    <w:rsid w:val="00943597"/>
    <w:rsid w:val="00943CC1"/>
    <w:rsid w:val="00945E83"/>
    <w:rsid w:val="00946668"/>
    <w:rsid w:val="00946954"/>
    <w:rsid w:val="009508C1"/>
    <w:rsid w:val="00951AF7"/>
    <w:rsid w:val="00951DFF"/>
    <w:rsid w:val="00952415"/>
    <w:rsid w:val="00952762"/>
    <w:rsid w:val="009528E1"/>
    <w:rsid w:val="00952B07"/>
    <w:rsid w:val="00953019"/>
    <w:rsid w:val="00953623"/>
    <w:rsid w:val="00954C2B"/>
    <w:rsid w:val="009554AA"/>
    <w:rsid w:val="00956E5D"/>
    <w:rsid w:val="0095739B"/>
    <w:rsid w:val="0096007C"/>
    <w:rsid w:val="0096331E"/>
    <w:rsid w:val="00964077"/>
    <w:rsid w:val="009657D2"/>
    <w:rsid w:val="00971431"/>
    <w:rsid w:val="00971455"/>
    <w:rsid w:val="009715EC"/>
    <w:rsid w:val="00971630"/>
    <w:rsid w:val="00971BF7"/>
    <w:rsid w:val="00972931"/>
    <w:rsid w:val="009753A2"/>
    <w:rsid w:val="00980677"/>
    <w:rsid w:val="0098100E"/>
    <w:rsid w:val="0098103A"/>
    <w:rsid w:val="009820E8"/>
    <w:rsid w:val="00982217"/>
    <w:rsid w:val="009838C9"/>
    <w:rsid w:val="0098400A"/>
    <w:rsid w:val="009844F9"/>
    <w:rsid w:val="009849E6"/>
    <w:rsid w:val="009856B2"/>
    <w:rsid w:val="00986AA1"/>
    <w:rsid w:val="00987C24"/>
    <w:rsid w:val="00987D4A"/>
    <w:rsid w:val="009903E5"/>
    <w:rsid w:val="009907AC"/>
    <w:rsid w:val="0099124C"/>
    <w:rsid w:val="00993C02"/>
    <w:rsid w:val="00993DE5"/>
    <w:rsid w:val="00996D22"/>
    <w:rsid w:val="009974FD"/>
    <w:rsid w:val="00997E17"/>
    <w:rsid w:val="009A3560"/>
    <w:rsid w:val="009A5CA8"/>
    <w:rsid w:val="009B1F50"/>
    <w:rsid w:val="009B208E"/>
    <w:rsid w:val="009B315F"/>
    <w:rsid w:val="009B430E"/>
    <w:rsid w:val="009B5422"/>
    <w:rsid w:val="009B596F"/>
    <w:rsid w:val="009B6602"/>
    <w:rsid w:val="009B69F0"/>
    <w:rsid w:val="009B7FDC"/>
    <w:rsid w:val="009C10E6"/>
    <w:rsid w:val="009C1145"/>
    <w:rsid w:val="009C160A"/>
    <w:rsid w:val="009C28B6"/>
    <w:rsid w:val="009C5AC6"/>
    <w:rsid w:val="009C6DBE"/>
    <w:rsid w:val="009C79B7"/>
    <w:rsid w:val="009C7E64"/>
    <w:rsid w:val="009D1407"/>
    <w:rsid w:val="009D24AC"/>
    <w:rsid w:val="009D2DB6"/>
    <w:rsid w:val="009D2EB1"/>
    <w:rsid w:val="009D4EBB"/>
    <w:rsid w:val="009D5FE3"/>
    <w:rsid w:val="009D6D72"/>
    <w:rsid w:val="009D7252"/>
    <w:rsid w:val="009E2B4B"/>
    <w:rsid w:val="009E2E56"/>
    <w:rsid w:val="009E4597"/>
    <w:rsid w:val="009E68D5"/>
    <w:rsid w:val="009E6A67"/>
    <w:rsid w:val="009F2E79"/>
    <w:rsid w:val="009F37DD"/>
    <w:rsid w:val="009F426F"/>
    <w:rsid w:val="009F5979"/>
    <w:rsid w:val="009F6E95"/>
    <w:rsid w:val="009F7915"/>
    <w:rsid w:val="009F7FF6"/>
    <w:rsid w:val="00A02E81"/>
    <w:rsid w:val="00A04E06"/>
    <w:rsid w:val="00A0687A"/>
    <w:rsid w:val="00A1076F"/>
    <w:rsid w:val="00A12892"/>
    <w:rsid w:val="00A13781"/>
    <w:rsid w:val="00A158E4"/>
    <w:rsid w:val="00A20AAF"/>
    <w:rsid w:val="00A2111A"/>
    <w:rsid w:val="00A22849"/>
    <w:rsid w:val="00A2352B"/>
    <w:rsid w:val="00A2525C"/>
    <w:rsid w:val="00A25F10"/>
    <w:rsid w:val="00A27238"/>
    <w:rsid w:val="00A31A9B"/>
    <w:rsid w:val="00A350C3"/>
    <w:rsid w:val="00A35302"/>
    <w:rsid w:val="00A37118"/>
    <w:rsid w:val="00A40713"/>
    <w:rsid w:val="00A418C2"/>
    <w:rsid w:val="00A4283B"/>
    <w:rsid w:val="00A42973"/>
    <w:rsid w:val="00A438F1"/>
    <w:rsid w:val="00A441B6"/>
    <w:rsid w:val="00A44234"/>
    <w:rsid w:val="00A44DA2"/>
    <w:rsid w:val="00A459A8"/>
    <w:rsid w:val="00A45D1C"/>
    <w:rsid w:val="00A46BE4"/>
    <w:rsid w:val="00A5216E"/>
    <w:rsid w:val="00A5309D"/>
    <w:rsid w:val="00A53456"/>
    <w:rsid w:val="00A53E37"/>
    <w:rsid w:val="00A557F9"/>
    <w:rsid w:val="00A56E53"/>
    <w:rsid w:val="00A57E25"/>
    <w:rsid w:val="00A60B28"/>
    <w:rsid w:val="00A61605"/>
    <w:rsid w:val="00A62025"/>
    <w:rsid w:val="00A625D8"/>
    <w:rsid w:val="00A62AC6"/>
    <w:rsid w:val="00A63D61"/>
    <w:rsid w:val="00A650C3"/>
    <w:rsid w:val="00A674CD"/>
    <w:rsid w:val="00A67B85"/>
    <w:rsid w:val="00A7008F"/>
    <w:rsid w:val="00A701F3"/>
    <w:rsid w:val="00A71511"/>
    <w:rsid w:val="00A728A8"/>
    <w:rsid w:val="00A73017"/>
    <w:rsid w:val="00A73089"/>
    <w:rsid w:val="00A752C6"/>
    <w:rsid w:val="00A759C4"/>
    <w:rsid w:val="00A87D7E"/>
    <w:rsid w:val="00A90781"/>
    <w:rsid w:val="00A90974"/>
    <w:rsid w:val="00A92684"/>
    <w:rsid w:val="00A93418"/>
    <w:rsid w:val="00A96DF3"/>
    <w:rsid w:val="00A975EC"/>
    <w:rsid w:val="00AA1F85"/>
    <w:rsid w:val="00AA2409"/>
    <w:rsid w:val="00AA2698"/>
    <w:rsid w:val="00AA6E44"/>
    <w:rsid w:val="00AB0D52"/>
    <w:rsid w:val="00AB3499"/>
    <w:rsid w:val="00AB3E07"/>
    <w:rsid w:val="00AB6021"/>
    <w:rsid w:val="00AB6B39"/>
    <w:rsid w:val="00AC06FB"/>
    <w:rsid w:val="00AC0AE5"/>
    <w:rsid w:val="00AC1061"/>
    <w:rsid w:val="00AC1B6D"/>
    <w:rsid w:val="00AC260A"/>
    <w:rsid w:val="00AC33F1"/>
    <w:rsid w:val="00AC35E4"/>
    <w:rsid w:val="00AC4425"/>
    <w:rsid w:val="00AC4A64"/>
    <w:rsid w:val="00AC5F83"/>
    <w:rsid w:val="00AD16AC"/>
    <w:rsid w:val="00AD1B26"/>
    <w:rsid w:val="00AD1B37"/>
    <w:rsid w:val="00AD2061"/>
    <w:rsid w:val="00AD2FD0"/>
    <w:rsid w:val="00AD3ED9"/>
    <w:rsid w:val="00AD7FBF"/>
    <w:rsid w:val="00AE11F3"/>
    <w:rsid w:val="00AE1841"/>
    <w:rsid w:val="00AE2B52"/>
    <w:rsid w:val="00AE3E33"/>
    <w:rsid w:val="00AF22B0"/>
    <w:rsid w:val="00AF2850"/>
    <w:rsid w:val="00AF3B70"/>
    <w:rsid w:val="00AF4EAC"/>
    <w:rsid w:val="00AF5A4D"/>
    <w:rsid w:val="00AF69C8"/>
    <w:rsid w:val="00AF739D"/>
    <w:rsid w:val="00AF7B1B"/>
    <w:rsid w:val="00B00F95"/>
    <w:rsid w:val="00B01B0C"/>
    <w:rsid w:val="00B021AC"/>
    <w:rsid w:val="00B02555"/>
    <w:rsid w:val="00B02A2A"/>
    <w:rsid w:val="00B02CD1"/>
    <w:rsid w:val="00B03C28"/>
    <w:rsid w:val="00B03F0D"/>
    <w:rsid w:val="00B041D8"/>
    <w:rsid w:val="00B04EB6"/>
    <w:rsid w:val="00B05434"/>
    <w:rsid w:val="00B067D5"/>
    <w:rsid w:val="00B06EA3"/>
    <w:rsid w:val="00B12809"/>
    <w:rsid w:val="00B13B81"/>
    <w:rsid w:val="00B1527D"/>
    <w:rsid w:val="00B15D4C"/>
    <w:rsid w:val="00B20F7D"/>
    <w:rsid w:val="00B22734"/>
    <w:rsid w:val="00B23E4C"/>
    <w:rsid w:val="00B26FB5"/>
    <w:rsid w:val="00B27515"/>
    <w:rsid w:val="00B30052"/>
    <w:rsid w:val="00B304F5"/>
    <w:rsid w:val="00B30DDE"/>
    <w:rsid w:val="00B3206F"/>
    <w:rsid w:val="00B3241E"/>
    <w:rsid w:val="00B32437"/>
    <w:rsid w:val="00B33B2F"/>
    <w:rsid w:val="00B3413F"/>
    <w:rsid w:val="00B36105"/>
    <w:rsid w:val="00B36CE7"/>
    <w:rsid w:val="00B37A17"/>
    <w:rsid w:val="00B40FB5"/>
    <w:rsid w:val="00B42223"/>
    <w:rsid w:val="00B44936"/>
    <w:rsid w:val="00B45273"/>
    <w:rsid w:val="00B46C8A"/>
    <w:rsid w:val="00B50D3A"/>
    <w:rsid w:val="00B51A36"/>
    <w:rsid w:val="00B51FFA"/>
    <w:rsid w:val="00B5228A"/>
    <w:rsid w:val="00B54254"/>
    <w:rsid w:val="00B54B4B"/>
    <w:rsid w:val="00B54C80"/>
    <w:rsid w:val="00B55128"/>
    <w:rsid w:val="00B553D6"/>
    <w:rsid w:val="00B55407"/>
    <w:rsid w:val="00B55F5D"/>
    <w:rsid w:val="00B57F0D"/>
    <w:rsid w:val="00B6391C"/>
    <w:rsid w:val="00B64DA3"/>
    <w:rsid w:val="00B65539"/>
    <w:rsid w:val="00B666AC"/>
    <w:rsid w:val="00B66C61"/>
    <w:rsid w:val="00B6793F"/>
    <w:rsid w:val="00B70FD6"/>
    <w:rsid w:val="00B710EF"/>
    <w:rsid w:val="00B722CF"/>
    <w:rsid w:val="00B72F25"/>
    <w:rsid w:val="00B7321A"/>
    <w:rsid w:val="00B740B3"/>
    <w:rsid w:val="00B74575"/>
    <w:rsid w:val="00B7667D"/>
    <w:rsid w:val="00B7676B"/>
    <w:rsid w:val="00B76BC0"/>
    <w:rsid w:val="00B77445"/>
    <w:rsid w:val="00B77EC0"/>
    <w:rsid w:val="00B8153A"/>
    <w:rsid w:val="00B903C9"/>
    <w:rsid w:val="00B91E75"/>
    <w:rsid w:val="00B95501"/>
    <w:rsid w:val="00B95566"/>
    <w:rsid w:val="00B95AF9"/>
    <w:rsid w:val="00B97A4C"/>
    <w:rsid w:val="00BA2581"/>
    <w:rsid w:val="00BA3690"/>
    <w:rsid w:val="00BA5076"/>
    <w:rsid w:val="00BA5DF5"/>
    <w:rsid w:val="00BA7FEA"/>
    <w:rsid w:val="00BB0268"/>
    <w:rsid w:val="00BB0744"/>
    <w:rsid w:val="00BB10EE"/>
    <w:rsid w:val="00BB18E4"/>
    <w:rsid w:val="00BB43F2"/>
    <w:rsid w:val="00BB5BB2"/>
    <w:rsid w:val="00BB69B0"/>
    <w:rsid w:val="00BB7E71"/>
    <w:rsid w:val="00BC0878"/>
    <w:rsid w:val="00BC13E8"/>
    <w:rsid w:val="00BC16F3"/>
    <w:rsid w:val="00BC1801"/>
    <w:rsid w:val="00BC21E7"/>
    <w:rsid w:val="00BC29E5"/>
    <w:rsid w:val="00BC4268"/>
    <w:rsid w:val="00BC45B4"/>
    <w:rsid w:val="00BC480A"/>
    <w:rsid w:val="00BC6340"/>
    <w:rsid w:val="00BC6964"/>
    <w:rsid w:val="00BC737F"/>
    <w:rsid w:val="00BD0178"/>
    <w:rsid w:val="00BD0475"/>
    <w:rsid w:val="00BD38AB"/>
    <w:rsid w:val="00BD43F9"/>
    <w:rsid w:val="00BD4E17"/>
    <w:rsid w:val="00BD5ECA"/>
    <w:rsid w:val="00BD725F"/>
    <w:rsid w:val="00BE0977"/>
    <w:rsid w:val="00BE1E91"/>
    <w:rsid w:val="00BE2233"/>
    <w:rsid w:val="00BE46A6"/>
    <w:rsid w:val="00BE4A81"/>
    <w:rsid w:val="00BE51FF"/>
    <w:rsid w:val="00BE5583"/>
    <w:rsid w:val="00BE5A55"/>
    <w:rsid w:val="00BE6F77"/>
    <w:rsid w:val="00BE7091"/>
    <w:rsid w:val="00BF00D4"/>
    <w:rsid w:val="00BF26D7"/>
    <w:rsid w:val="00BF344B"/>
    <w:rsid w:val="00BF61ED"/>
    <w:rsid w:val="00BF6B67"/>
    <w:rsid w:val="00C0018A"/>
    <w:rsid w:val="00C044E7"/>
    <w:rsid w:val="00C04FBA"/>
    <w:rsid w:val="00C06776"/>
    <w:rsid w:val="00C07764"/>
    <w:rsid w:val="00C078B3"/>
    <w:rsid w:val="00C11799"/>
    <w:rsid w:val="00C21A54"/>
    <w:rsid w:val="00C21E9E"/>
    <w:rsid w:val="00C22D44"/>
    <w:rsid w:val="00C242D5"/>
    <w:rsid w:val="00C26F97"/>
    <w:rsid w:val="00C310BE"/>
    <w:rsid w:val="00C31F89"/>
    <w:rsid w:val="00C32D01"/>
    <w:rsid w:val="00C3410F"/>
    <w:rsid w:val="00C34762"/>
    <w:rsid w:val="00C35518"/>
    <w:rsid w:val="00C36DDC"/>
    <w:rsid w:val="00C370FC"/>
    <w:rsid w:val="00C37568"/>
    <w:rsid w:val="00C37A30"/>
    <w:rsid w:val="00C37AF4"/>
    <w:rsid w:val="00C4252A"/>
    <w:rsid w:val="00C433DA"/>
    <w:rsid w:val="00C4411A"/>
    <w:rsid w:val="00C44E0D"/>
    <w:rsid w:val="00C457D4"/>
    <w:rsid w:val="00C513CF"/>
    <w:rsid w:val="00C51BCF"/>
    <w:rsid w:val="00C54A6E"/>
    <w:rsid w:val="00C55B37"/>
    <w:rsid w:val="00C56D54"/>
    <w:rsid w:val="00C600D7"/>
    <w:rsid w:val="00C60734"/>
    <w:rsid w:val="00C61386"/>
    <w:rsid w:val="00C6150F"/>
    <w:rsid w:val="00C6164E"/>
    <w:rsid w:val="00C619F7"/>
    <w:rsid w:val="00C62390"/>
    <w:rsid w:val="00C62544"/>
    <w:rsid w:val="00C62C77"/>
    <w:rsid w:val="00C66D5D"/>
    <w:rsid w:val="00C701C7"/>
    <w:rsid w:val="00C7034D"/>
    <w:rsid w:val="00C715A1"/>
    <w:rsid w:val="00C720BD"/>
    <w:rsid w:val="00C72C63"/>
    <w:rsid w:val="00C75D51"/>
    <w:rsid w:val="00C777AD"/>
    <w:rsid w:val="00C801A5"/>
    <w:rsid w:val="00C81B17"/>
    <w:rsid w:val="00C82789"/>
    <w:rsid w:val="00C8363F"/>
    <w:rsid w:val="00C840A5"/>
    <w:rsid w:val="00C848A9"/>
    <w:rsid w:val="00C867EB"/>
    <w:rsid w:val="00C87457"/>
    <w:rsid w:val="00C87E4F"/>
    <w:rsid w:val="00C9159E"/>
    <w:rsid w:val="00C93472"/>
    <w:rsid w:val="00C94B0D"/>
    <w:rsid w:val="00C94F6A"/>
    <w:rsid w:val="00C95499"/>
    <w:rsid w:val="00C95BA8"/>
    <w:rsid w:val="00C96340"/>
    <w:rsid w:val="00C964E6"/>
    <w:rsid w:val="00CA220D"/>
    <w:rsid w:val="00CB1E7B"/>
    <w:rsid w:val="00CB210C"/>
    <w:rsid w:val="00CB2998"/>
    <w:rsid w:val="00CB4521"/>
    <w:rsid w:val="00CB4698"/>
    <w:rsid w:val="00CB477B"/>
    <w:rsid w:val="00CB4BF8"/>
    <w:rsid w:val="00CB5AA7"/>
    <w:rsid w:val="00CB6BFC"/>
    <w:rsid w:val="00CB7125"/>
    <w:rsid w:val="00CC0BF6"/>
    <w:rsid w:val="00CC1455"/>
    <w:rsid w:val="00CC42D3"/>
    <w:rsid w:val="00CC7150"/>
    <w:rsid w:val="00CD0021"/>
    <w:rsid w:val="00CD5B17"/>
    <w:rsid w:val="00CD641A"/>
    <w:rsid w:val="00CE04D4"/>
    <w:rsid w:val="00CE0DE9"/>
    <w:rsid w:val="00CE1221"/>
    <w:rsid w:val="00CE1941"/>
    <w:rsid w:val="00CE1C1F"/>
    <w:rsid w:val="00CE1DA5"/>
    <w:rsid w:val="00CE2108"/>
    <w:rsid w:val="00CE5989"/>
    <w:rsid w:val="00CE6D33"/>
    <w:rsid w:val="00CE7B58"/>
    <w:rsid w:val="00CF0135"/>
    <w:rsid w:val="00CF06FF"/>
    <w:rsid w:val="00CF47F3"/>
    <w:rsid w:val="00CF5078"/>
    <w:rsid w:val="00CF5A90"/>
    <w:rsid w:val="00CF64F9"/>
    <w:rsid w:val="00D00FE3"/>
    <w:rsid w:val="00D01669"/>
    <w:rsid w:val="00D01901"/>
    <w:rsid w:val="00D0241E"/>
    <w:rsid w:val="00D054BE"/>
    <w:rsid w:val="00D05D4E"/>
    <w:rsid w:val="00D07C55"/>
    <w:rsid w:val="00D1120D"/>
    <w:rsid w:val="00D135CF"/>
    <w:rsid w:val="00D1400B"/>
    <w:rsid w:val="00D170A3"/>
    <w:rsid w:val="00D17118"/>
    <w:rsid w:val="00D20061"/>
    <w:rsid w:val="00D202E3"/>
    <w:rsid w:val="00D20DB5"/>
    <w:rsid w:val="00D21F83"/>
    <w:rsid w:val="00D225EA"/>
    <w:rsid w:val="00D22B82"/>
    <w:rsid w:val="00D247E3"/>
    <w:rsid w:val="00D24A20"/>
    <w:rsid w:val="00D24E36"/>
    <w:rsid w:val="00D24F82"/>
    <w:rsid w:val="00D25B40"/>
    <w:rsid w:val="00D26EA0"/>
    <w:rsid w:val="00D2788C"/>
    <w:rsid w:val="00D27F2D"/>
    <w:rsid w:val="00D310FE"/>
    <w:rsid w:val="00D31591"/>
    <w:rsid w:val="00D33BD2"/>
    <w:rsid w:val="00D3524A"/>
    <w:rsid w:val="00D36A41"/>
    <w:rsid w:val="00D36C61"/>
    <w:rsid w:val="00D37F0F"/>
    <w:rsid w:val="00D4028D"/>
    <w:rsid w:val="00D426E3"/>
    <w:rsid w:val="00D434A6"/>
    <w:rsid w:val="00D448DD"/>
    <w:rsid w:val="00D45930"/>
    <w:rsid w:val="00D4632E"/>
    <w:rsid w:val="00D46446"/>
    <w:rsid w:val="00D47B8F"/>
    <w:rsid w:val="00D47E68"/>
    <w:rsid w:val="00D50AEC"/>
    <w:rsid w:val="00D50D0E"/>
    <w:rsid w:val="00D5151F"/>
    <w:rsid w:val="00D51AC0"/>
    <w:rsid w:val="00D527F2"/>
    <w:rsid w:val="00D53AAD"/>
    <w:rsid w:val="00D542AC"/>
    <w:rsid w:val="00D54CEC"/>
    <w:rsid w:val="00D609EE"/>
    <w:rsid w:val="00D62B1A"/>
    <w:rsid w:val="00D62D4B"/>
    <w:rsid w:val="00D63D59"/>
    <w:rsid w:val="00D65062"/>
    <w:rsid w:val="00D65E72"/>
    <w:rsid w:val="00D71127"/>
    <w:rsid w:val="00D718D1"/>
    <w:rsid w:val="00D72167"/>
    <w:rsid w:val="00D72B6B"/>
    <w:rsid w:val="00D74EEF"/>
    <w:rsid w:val="00D75BF2"/>
    <w:rsid w:val="00D80A06"/>
    <w:rsid w:val="00D81195"/>
    <w:rsid w:val="00D81A5F"/>
    <w:rsid w:val="00D8202E"/>
    <w:rsid w:val="00D848A8"/>
    <w:rsid w:val="00D84AF7"/>
    <w:rsid w:val="00D84B01"/>
    <w:rsid w:val="00D85C27"/>
    <w:rsid w:val="00D85EB5"/>
    <w:rsid w:val="00D869FE"/>
    <w:rsid w:val="00D86B58"/>
    <w:rsid w:val="00D9048A"/>
    <w:rsid w:val="00D9196D"/>
    <w:rsid w:val="00D93066"/>
    <w:rsid w:val="00D94083"/>
    <w:rsid w:val="00D94D7E"/>
    <w:rsid w:val="00D94DEB"/>
    <w:rsid w:val="00D97C3A"/>
    <w:rsid w:val="00D97C7A"/>
    <w:rsid w:val="00D97D4B"/>
    <w:rsid w:val="00DA2C08"/>
    <w:rsid w:val="00DA5AC4"/>
    <w:rsid w:val="00DA5E9F"/>
    <w:rsid w:val="00DA5EAE"/>
    <w:rsid w:val="00DA67BB"/>
    <w:rsid w:val="00DA7820"/>
    <w:rsid w:val="00DA79AB"/>
    <w:rsid w:val="00DB0E29"/>
    <w:rsid w:val="00DB1989"/>
    <w:rsid w:val="00DB27A2"/>
    <w:rsid w:val="00DB3666"/>
    <w:rsid w:val="00DB3C7E"/>
    <w:rsid w:val="00DB402A"/>
    <w:rsid w:val="00DB4301"/>
    <w:rsid w:val="00DB49B1"/>
    <w:rsid w:val="00DB67BD"/>
    <w:rsid w:val="00DB69C2"/>
    <w:rsid w:val="00DB6B72"/>
    <w:rsid w:val="00DB79F3"/>
    <w:rsid w:val="00DC16B7"/>
    <w:rsid w:val="00DC27F8"/>
    <w:rsid w:val="00DC2849"/>
    <w:rsid w:val="00DC3208"/>
    <w:rsid w:val="00DC3DCF"/>
    <w:rsid w:val="00DC606C"/>
    <w:rsid w:val="00DC695A"/>
    <w:rsid w:val="00DD1E8B"/>
    <w:rsid w:val="00DD2906"/>
    <w:rsid w:val="00DD2F1D"/>
    <w:rsid w:val="00DD3281"/>
    <w:rsid w:val="00DD69FC"/>
    <w:rsid w:val="00DD7D84"/>
    <w:rsid w:val="00DE091B"/>
    <w:rsid w:val="00DE225B"/>
    <w:rsid w:val="00DE2DE0"/>
    <w:rsid w:val="00DE4B1A"/>
    <w:rsid w:val="00DE61D6"/>
    <w:rsid w:val="00DF1BED"/>
    <w:rsid w:val="00DF2AB6"/>
    <w:rsid w:val="00DF2BC7"/>
    <w:rsid w:val="00DF5330"/>
    <w:rsid w:val="00DF5CF1"/>
    <w:rsid w:val="00DF5F2E"/>
    <w:rsid w:val="00DF6AD0"/>
    <w:rsid w:val="00DF6DE8"/>
    <w:rsid w:val="00DF7215"/>
    <w:rsid w:val="00DF7418"/>
    <w:rsid w:val="00DF78B1"/>
    <w:rsid w:val="00E0004C"/>
    <w:rsid w:val="00E00B52"/>
    <w:rsid w:val="00E00F6D"/>
    <w:rsid w:val="00E014FB"/>
    <w:rsid w:val="00E01B79"/>
    <w:rsid w:val="00E020E9"/>
    <w:rsid w:val="00E023C5"/>
    <w:rsid w:val="00E032EA"/>
    <w:rsid w:val="00E0414A"/>
    <w:rsid w:val="00E04A7F"/>
    <w:rsid w:val="00E053A9"/>
    <w:rsid w:val="00E05F2E"/>
    <w:rsid w:val="00E06D5F"/>
    <w:rsid w:val="00E072B7"/>
    <w:rsid w:val="00E0775E"/>
    <w:rsid w:val="00E07EFA"/>
    <w:rsid w:val="00E10062"/>
    <w:rsid w:val="00E1099A"/>
    <w:rsid w:val="00E10FE7"/>
    <w:rsid w:val="00E120EE"/>
    <w:rsid w:val="00E1268D"/>
    <w:rsid w:val="00E12F4A"/>
    <w:rsid w:val="00E14CF7"/>
    <w:rsid w:val="00E14D4D"/>
    <w:rsid w:val="00E16731"/>
    <w:rsid w:val="00E239FD"/>
    <w:rsid w:val="00E263C4"/>
    <w:rsid w:val="00E268B0"/>
    <w:rsid w:val="00E26D12"/>
    <w:rsid w:val="00E277BF"/>
    <w:rsid w:val="00E30082"/>
    <w:rsid w:val="00E306CF"/>
    <w:rsid w:val="00E3159D"/>
    <w:rsid w:val="00E31EC4"/>
    <w:rsid w:val="00E3257D"/>
    <w:rsid w:val="00E32C2E"/>
    <w:rsid w:val="00E339FC"/>
    <w:rsid w:val="00E3482E"/>
    <w:rsid w:val="00E372B2"/>
    <w:rsid w:val="00E37B37"/>
    <w:rsid w:val="00E416EF"/>
    <w:rsid w:val="00E43404"/>
    <w:rsid w:val="00E4345F"/>
    <w:rsid w:val="00E436AF"/>
    <w:rsid w:val="00E4417E"/>
    <w:rsid w:val="00E466A5"/>
    <w:rsid w:val="00E4691B"/>
    <w:rsid w:val="00E521D0"/>
    <w:rsid w:val="00E536FE"/>
    <w:rsid w:val="00E53D3B"/>
    <w:rsid w:val="00E545A3"/>
    <w:rsid w:val="00E572EA"/>
    <w:rsid w:val="00E57939"/>
    <w:rsid w:val="00E60A6E"/>
    <w:rsid w:val="00E61AD4"/>
    <w:rsid w:val="00E6200F"/>
    <w:rsid w:val="00E624D7"/>
    <w:rsid w:val="00E64E82"/>
    <w:rsid w:val="00E656A8"/>
    <w:rsid w:val="00E65D63"/>
    <w:rsid w:val="00E6745B"/>
    <w:rsid w:val="00E67E17"/>
    <w:rsid w:val="00E703E5"/>
    <w:rsid w:val="00E74310"/>
    <w:rsid w:val="00E77D72"/>
    <w:rsid w:val="00E801F2"/>
    <w:rsid w:val="00E81998"/>
    <w:rsid w:val="00E841D0"/>
    <w:rsid w:val="00E8580D"/>
    <w:rsid w:val="00E85814"/>
    <w:rsid w:val="00E85D1F"/>
    <w:rsid w:val="00E91943"/>
    <w:rsid w:val="00E9269F"/>
    <w:rsid w:val="00E9596E"/>
    <w:rsid w:val="00E95DCF"/>
    <w:rsid w:val="00E9770A"/>
    <w:rsid w:val="00E97AB1"/>
    <w:rsid w:val="00EA009D"/>
    <w:rsid w:val="00EA0B26"/>
    <w:rsid w:val="00EA115A"/>
    <w:rsid w:val="00EA1E3E"/>
    <w:rsid w:val="00EA25DB"/>
    <w:rsid w:val="00EA3014"/>
    <w:rsid w:val="00EA4660"/>
    <w:rsid w:val="00EA4F1D"/>
    <w:rsid w:val="00EA53A4"/>
    <w:rsid w:val="00EA5642"/>
    <w:rsid w:val="00EA6F31"/>
    <w:rsid w:val="00EA7A89"/>
    <w:rsid w:val="00EA7ED4"/>
    <w:rsid w:val="00EB1834"/>
    <w:rsid w:val="00EB217E"/>
    <w:rsid w:val="00EB340A"/>
    <w:rsid w:val="00EB47D6"/>
    <w:rsid w:val="00EB49A2"/>
    <w:rsid w:val="00EB6302"/>
    <w:rsid w:val="00EC0100"/>
    <w:rsid w:val="00EC07C5"/>
    <w:rsid w:val="00EC0992"/>
    <w:rsid w:val="00EC0F40"/>
    <w:rsid w:val="00EC1D6D"/>
    <w:rsid w:val="00EC2BE9"/>
    <w:rsid w:val="00EC3917"/>
    <w:rsid w:val="00EC4103"/>
    <w:rsid w:val="00EC74B5"/>
    <w:rsid w:val="00EC76A2"/>
    <w:rsid w:val="00EC7CDF"/>
    <w:rsid w:val="00ED0A9D"/>
    <w:rsid w:val="00ED1EFB"/>
    <w:rsid w:val="00ED1F0D"/>
    <w:rsid w:val="00ED2EB3"/>
    <w:rsid w:val="00ED3575"/>
    <w:rsid w:val="00ED62EA"/>
    <w:rsid w:val="00ED7492"/>
    <w:rsid w:val="00EE0B40"/>
    <w:rsid w:val="00EE1083"/>
    <w:rsid w:val="00EE1AEC"/>
    <w:rsid w:val="00EE2659"/>
    <w:rsid w:val="00EE2840"/>
    <w:rsid w:val="00EE35D5"/>
    <w:rsid w:val="00EE4DE8"/>
    <w:rsid w:val="00EE5DA3"/>
    <w:rsid w:val="00EE6720"/>
    <w:rsid w:val="00EE6D86"/>
    <w:rsid w:val="00EE7C20"/>
    <w:rsid w:val="00EF02D7"/>
    <w:rsid w:val="00EF0ACF"/>
    <w:rsid w:val="00EF2469"/>
    <w:rsid w:val="00EF28D6"/>
    <w:rsid w:val="00EF4975"/>
    <w:rsid w:val="00EF5FD0"/>
    <w:rsid w:val="00EF70E2"/>
    <w:rsid w:val="00EF71F8"/>
    <w:rsid w:val="00F01022"/>
    <w:rsid w:val="00F01544"/>
    <w:rsid w:val="00F01D55"/>
    <w:rsid w:val="00F03C8A"/>
    <w:rsid w:val="00F03E61"/>
    <w:rsid w:val="00F03FD3"/>
    <w:rsid w:val="00F0655A"/>
    <w:rsid w:val="00F06FE1"/>
    <w:rsid w:val="00F110F3"/>
    <w:rsid w:val="00F11A52"/>
    <w:rsid w:val="00F135EE"/>
    <w:rsid w:val="00F13EB0"/>
    <w:rsid w:val="00F157F8"/>
    <w:rsid w:val="00F16662"/>
    <w:rsid w:val="00F16A69"/>
    <w:rsid w:val="00F2549E"/>
    <w:rsid w:val="00F25F96"/>
    <w:rsid w:val="00F27B21"/>
    <w:rsid w:val="00F27C5F"/>
    <w:rsid w:val="00F27C9D"/>
    <w:rsid w:val="00F30208"/>
    <w:rsid w:val="00F31147"/>
    <w:rsid w:val="00F313B0"/>
    <w:rsid w:val="00F32C0B"/>
    <w:rsid w:val="00F33394"/>
    <w:rsid w:val="00F37710"/>
    <w:rsid w:val="00F4114B"/>
    <w:rsid w:val="00F411D4"/>
    <w:rsid w:val="00F45645"/>
    <w:rsid w:val="00F46033"/>
    <w:rsid w:val="00F475BA"/>
    <w:rsid w:val="00F5047A"/>
    <w:rsid w:val="00F50523"/>
    <w:rsid w:val="00F508DA"/>
    <w:rsid w:val="00F51B3F"/>
    <w:rsid w:val="00F52F9C"/>
    <w:rsid w:val="00F52FEE"/>
    <w:rsid w:val="00F53732"/>
    <w:rsid w:val="00F53C3A"/>
    <w:rsid w:val="00F5492E"/>
    <w:rsid w:val="00F56A83"/>
    <w:rsid w:val="00F56CCF"/>
    <w:rsid w:val="00F56D2C"/>
    <w:rsid w:val="00F611ED"/>
    <w:rsid w:val="00F61F1A"/>
    <w:rsid w:val="00F63B38"/>
    <w:rsid w:val="00F6636C"/>
    <w:rsid w:val="00F669DA"/>
    <w:rsid w:val="00F70262"/>
    <w:rsid w:val="00F7090A"/>
    <w:rsid w:val="00F71E1D"/>
    <w:rsid w:val="00F7332B"/>
    <w:rsid w:val="00F7371A"/>
    <w:rsid w:val="00F75592"/>
    <w:rsid w:val="00F80949"/>
    <w:rsid w:val="00F82C08"/>
    <w:rsid w:val="00F84540"/>
    <w:rsid w:val="00F8519B"/>
    <w:rsid w:val="00F852F7"/>
    <w:rsid w:val="00F8598E"/>
    <w:rsid w:val="00F861F1"/>
    <w:rsid w:val="00F8671A"/>
    <w:rsid w:val="00F86A56"/>
    <w:rsid w:val="00F8712B"/>
    <w:rsid w:val="00F87AB9"/>
    <w:rsid w:val="00F904EE"/>
    <w:rsid w:val="00F92E3B"/>
    <w:rsid w:val="00F942FF"/>
    <w:rsid w:val="00F95E3B"/>
    <w:rsid w:val="00F971AD"/>
    <w:rsid w:val="00F97523"/>
    <w:rsid w:val="00FA0BF3"/>
    <w:rsid w:val="00FA0C9A"/>
    <w:rsid w:val="00FA115B"/>
    <w:rsid w:val="00FA144F"/>
    <w:rsid w:val="00FA21AF"/>
    <w:rsid w:val="00FA21C5"/>
    <w:rsid w:val="00FA2BC4"/>
    <w:rsid w:val="00FA312C"/>
    <w:rsid w:val="00FA37E2"/>
    <w:rsid w:val="00FA3D4F"/>
    <w:rsid w:val="00FB034A"/>
    <w:rsid w:val="00FB0B27"/>
    <w:rsid w:val="00FB0CDF"/>
    <w:rsid w:val="00FB0F4A"/>
    <w:rsid w:val="00FB12E7"/>
    <w:rsid w:val="00FB1D68"/>
    <w:rsid w:val="00FB3B31"/>
    <w:rsid w:val="00FB5107"/>
    <w:rsid w:val="00FB5217"/>
    <w:rsid w:val="00FB6B9A"/>
    <w:rsid w:val="00FC0E5A"/>
    <w:rsid w:val="00FC7C36"/>
    <w:rsid w:val="00FC7C81"/>
    <w:rsid w:val="00FD02E7"/>
    <w:rsid w:val="00FD06DC"/>
    <w:rsid w:val="00FD1297"/>
    <w:rsid w:val="00FD3530"/>
    <w:rsid w:val="00FD38E4"/>
    <w:rsid w:val="00FD7DA2"/>
    <w:rsid w:val="00FE03F9"/>
    <w:rsid w:val="00FE2EAF"/>
    <w:rsid w:val="00FE2FB1"/>
    <w:rsid w:val="00FE373E"/>
    <w:rsid w:val="00FE461E"/>
    <w:rsid w:val="00FE574C"/>
    <w:rsid w:val="00FF009E"/>
    <w:rsid w:val="00FF0591"/>
    <w:rsid w:val="00FF0E8E"/>
    <w:rsid w:val="00FF15DA"/>
    <w:rsid w:val="00FF1E62"/>
    <w:rsid w:val="00FF2340"/>
    <w:rsid w:val="00FF28CF"/>
    <w:rsid w:val="00FF35DF"/>
    <w:rsid w:val="00FF3AEE"/>
    <w:rsid w:val="00FF7E89"/>
    <w:rsid w:val="00FF7EF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7D0B43F-42D0-455C-AFA8-6B2E2D8A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722EC"/>
    <w:rPr>
      <w:rFonts w:ascii="Palatino Linotype" w:hAnsi="Palatino Linotype"/>
    </w:rPr>
  </w:style>
  <w:style w:type="paragraph" w:styleId="Cmsor1">
    <w:name w:val="heading 1"/>
    <w:basedOn w:val="Norml"/>
    <w:next w:val="Norml"/>
    <w:link w:val="Cmsor1Char"/>
    <w:uiPriority w:val="9"/>
    <w:qFormat/>
    <w:rsid w:val="00631B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EC09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31BC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631BC2"/>
    <w:rPr>
      <w:rFonts w:ascii="Tahoma" w:hAnsi="Tahoma" w:cs="Tahoma"/>
      <w:sz w:val="16"/>
      <w:szCs w:val="16"/>
    </w:rPr>
  </w:style>
  <w:style w:type="paragraph" w:styleId="Listaszerbekezds">
    <w:name w:val="List Paragraph"/>
    <w:basedOn w:val="Norml"/>
    <w:uiPriority w:val="34"/>
    <w:qFormat/>
    <w:rsid w:val="00631BC2"/>
    <w:pPr>
      <w:ind w:left="720"/>
      <w:contextualSpacing/>
    </w:pPr>
  </w:style>
  <w:style w:type="character" w:styleId="Hiperhivatkozs">
    <w:name w:val="Hyperlink"/>
    <w:uiPriority w:val="99"/>
    <w:rsid w:val="00631BC2"/>
    <w:rPr>
      <w:rFonts w:ascii="Arial" w:hAnsi="Arial" w:cs="Arial"/>
      <w:color w:val="0000FF"/>
      <w:u w:val="single"/>
    </w:rPr>
  </w:style>
  <w:style w:type="paragraph" w:customStyle="1" w:styleId="cmoldalalcm">
    <w:name w:val="címoldal_alcím"/>
    <w:basedOn w:val="Norml"/>
    <w:rsid w:val="00631BC2"/>
    <w:pPr>
      <w:spacing w:after="0" w:line="240" w:lineRule="auto"/>
      <w:jc w:val="center"/>
    </w:pPr>
    <w:rPr>
      <w:rFonts w:ascii="Arial" w:eastAsia="Times New Roman" w:hAnsi="Arial" w:cs="Arial"/>
      <w:i/>
      <w:iCs/>
      <w:sz w:val="28"/>
      <w:szCs w:val="28"/>
      <w:lang w:eastAsia="hu-HU"/>
    </w:rPr>
  </w:style>
  <w:style w:type="paragraph" w:styleId="lfej">
    <w:name w:val="header"/>
    <w:basedOn w:val="Norml"/>
    <w:link w:val="lfejChar1"/>
    <w:unhideWhenUsed/>
    <w:rsid w:val="00631BC2"/>
    <w:pPr>
      <w:tabs>
        <w:tab w:val="center" w:pos="4536"/>
        <w:tab w:val="right" w:pos="9072"/>
      </w:tabs>
      <w:spacing w:after="0" w:line="240" w:lineRule="auto"/>
    </w:pPr>
  </w:style>
  <w:style w:type="character" w:customStyle="1" w:styleId="lfejChar1">
    <w:name w:val="Élőfej Char1"/>
    <w:basedOn w:val="Bekezdsalapbettpusa"/>
    <w:link w:val="lfej"/>
    <w:uiPriority w:val="99"/>
    <w:rsid w:val="00631BC2"/>
  </w:style>
  <w:style w:type="paragraph" w:styleId="llb">
    <w:name w:val="footer"/>
    <w:basedOn w:val="Norml"/>
    <w:link w:val="llbChar2"/>
    <w:uiPriority w:val="99"/>
    <w:unhideWhenUsed/>
    <w:rsid w:val="00631BC2"/>
    <w:pPr>
      <w:tabs>
        <w:tab w:val="center" w:pos="4536"/>
        <w:tab w:val="right" w:pos="9072"/>
      </w:tabs>
      <w:spacing w:after="0" w:line="240" w:lineRule="auto"/>
    </w:pPr>
  </w:style>
  <w:style w:type="character" w:customStyle="1" w:styleId="llbChar2">
    <w:name w:val="Élőláb Char2"/>
    <w:basedOn w:val="Bekezdsalapbettpusa"/>
    <w:link w:val="llb"/>
    <w:uiPriority w:val="99"/>
    <w:rsid w:val="00631BC2"/>
  </w:style>
  <w:style w:type="character" w:customStyle="1" w:styleId="llbChar1">
    <w:name w:val="Élőláb Char1"/>
    <w:semiHidden/>
    <w:rsid w:val="00631BC2"/>
    <w:rPr>
      <w:rFonts w:ascii="Arial" w:hAnsi="Arial" w:cs="Arial"/>
      <w:sz w:val="24"/>
      <w:szCs w:val="24"/>
    </w:rPr>
  </w:style>
  <w:style w:type="character" w:styleId="Oldalszm">
    <w:name w:val="page number"/>
    <w:rsid w:val="00631BC2"/>
    <w:rPr>
      <w:rFonts w:cs="Times New Roman"/>
    </w:rPr>
  </w:style>
  <w:style w:type="character" w:customStyle="1" w:styleId="Cmsor1Char">
    <w:name w:val="Címsor 1 Char"/>
    <w:basedOn w:val="Bekezdsalapbettpusa"/>
    <w:link w:val="Cmsor1"/>
    <w:uiPriority w:val="9"/>
    <w:rsid w:val="00631BC2"/>
    <w:rPr>
      <w:rFonts w:asciiTheme="majorHAnsi" w:eastAsiaTheme="majorEastAsia" w:hAnsiTheme="majorHAnsi" w:cstheme="majorBidi"/>
      <w:b/>
      <w:bCs/>
      <w:color w:val="365F91" w:themeColor="accent1" w:themeShade="BF"/>
      <w:sz w:val="28"/>
      <w:szCs w:val="28"/>
    </w:rPr>
  </w:style>
  <w:style w:type="table" w:styleId="Rcsostblzat">
    <w:name w:val="Table Grid"/>
    <w:basedOn w:val="Normltblzat"/>
    <w:uiPriority w:val="39"/>
    <w:rsid w:val="00207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unhideWhenUsed/>
    <w:rsid w:val="003721CA"/>
    <w:pPr>
      <w:spacing w:after="0" w:line="240" w:lineRule="auto"/>
    </w:pPr>
    <w:rPr>
      <w:sz w:val="20"/>
      <w:szCs w:val="20"/>
    </w:rPr>
  </w:style>
  <w:style w:type="character" w:customStyle="1" w:styleId="LbjegyzetszvegChar">
    <w:name w:val="Lábjegyzetszöveg Char"/>
    <w:basedOn w:val="Bekezdsalapbettpusa"/>
    <w:link w:val="Lbjegyzetszveg"/>
    <w:uiPriority w:val="99"/>
    <w:rsid w:val="003721CA"/>
    <w:rPr>
      <w:sz w:val="20"/>
      <w:szCs w:val="20"/>
    </w:rPr>
  </w:style>
  <w:style w:type="character" w:styleId="Lbjegyzet-hivatkozs">
    <w:name w:val="footnote reference"/>
    <w:basedOn w:val="Bekezdsalapbettpusa"/>
    <w:uiPriority w:val="99"/>
    <w:semiHidden/>
    <w:unhideWhenUsed/>
    <w:rsid w:val="003721CA"/>
    <w:rPr>
      <w:vertAlign w:val="superscript"/>
    </w:rPr>
  </w:style>
  <w:style w:type="character" w:styleId="Mrltotthiperhivatkozs">
    <w:name w:val="FollowedHyperlink"/>
    <w:basedOn w:val="Bekezdsalapbettpusa"/>
    <w:uiPriority w:val="99"/>
    <w:semiHidden/>
    <w:unhideWhenUsed/>
    <w:rsid w:val="0005105C"/>
    <w:rPr>
      <w:color w:val="800080" w:themeColor="followedHyperlink"/>
      <w:u w:val="single"/>
    </w:rPr>
  </w:style>
  <w:style w:type="paragraph" w:customStyle="1" w:styleId="GVIelsobekezdes">
    <w:name w:val="GVI_elso_bekezdes"/>
    <w:basedOn w:val="Norml"/>
    <w:link w:val="GVIelsobekezdesChar"/>
    <w:qFormat/>
    <w:rsid w:val="00400EFE"/>
    <w:pPr>
      <w:spacing w:before="240" w:after="240" w:line="240" w:lineRule="auto"/>
      <w:jc w:val="both"/>
    </w:pPr>
    <w:rPr>
      <w:rFonts w:ascii="Arial" w:eastAsia="Times New Roman" w:hAnsi="Arial" w:cs="Times New Roman"/>
      <w:sz w:val="24"/>
      <w:szCs w:val="20"/>
      <w:lang w:eastAsia="hu-HU"/>
    </w:rPr>
  </w:style>
  <w:style w:type="character" w:customStyle="1" w:styleId="GVIelsobekezdesChar">
    <w:name w:val="GVI_elso_bekezdes Char"/>
    <w:basedOn w:val="Bekezdsalapbettpusa"/>
    <w:link w:val="GVIelsobekezdes"/>
    <w:rsid w:val="00400EFE"/>
    <w:rPr>
      <w:rFonts w:ascii="Arial" w:eastAsia="Times New Roman" w:hAnsi="Arial" w:cs="Times New Roman"/>
      <w:sz w:val="24"/>
      <w:szCs w:val="20"/>
      <w:lang w:eastAsia="hu-HU"/>
    </w:rPr>
  </w:style>
  <w:style w:type="paragraph" w:styleId="Tartalomjegyzkcmsora">
    <w:name w:val="TOC Heading"/>
    <w:basedOn w:val="Cmsor1"/>
    <w:next w:val="Norml"/>
    <w:uiPriority w:val="39"/>
    <w:unhideWhenUsed/>
    <w:qFormat/>
    <w:rsid w:val="00F508DA"/>
    <w:pPr>
      <w:outlineLvl w:val="9"/>
    </w:pPr>
    <w:rPr>
      <w:lang w:eastAsia="hu-HU"/>
    </w:rPr>
  </w:style>
  <w:style w:type="paragraph" w:styleId="TJ1">
    <w:name w:val="toc 1"/>
    <w:basedOn w:val="Norml"/>
    <w:next w:val="Norml"/>
    <w:autoRedefine/>
    <w:uiPriority w:val="39"/>
    <w:unhideWhenUsed/>
    <w:rsid w:val="00F508DA"/>
    <w:pPr>
      <w:spacing w:after="100"/>
    </w:pPr>
  </w:style>
  <w:style w:type="paragraph" w:styleId="Szvegtrzs">
    <w:name w:val="Body Text"/>
    <w:basedOn w:val="Norml"/>
    <w:link w:val="SzvegtrzsChar"/>
    <w:uiPriority w:val="99"/>
    <w:rsid w:val="003C4034"/>
    <w:pPr>
      <w:suppressAutoHyphens/>
      <w:spacing w:before="240" w:after="240" w:line="360" w:lineRule="auto"/>
      <w:jc w:val="both"/>
    </w:pPr>
    <w:rPr>
      <w:rFonts w:ascii="Arial" w:eastAsia="Times New Roman" w:hAnsi="Arial" w:cs="Arial"/>
      <w:sz w:val="24"/>
      <w:szCs w:val="24"/>
      <w:lang w:eastAsia="ar-SA"/>
    </w:rPr>
  </w:style>
  <w:style w:type="character" w:customStyle="1" w:styleId="SzvegtrzsChar">
    <w:name w:val="Szövegtörzs Char"/>
    <w:basedOn w:val="Bekezdsalapbettpusa"/>
    <w:link w:val="Szvegtrzs"/>
    <w:uiPriority w:val="99"/>
    <w:rsid w:val="003C4034"/>
    <w:rPr>
      <w:rFonts w:ascii="Arial" w:eastAsia="Times New Roman" w:hAnsi="Arial" w:cs="Arial"/>
      <w:sz w:val="24"/>
      <w:szCs w:val="24"/>
      <w:lang w:eastAsia="ar-SA"/>
    </w:rPr>
  </w:style>
  <w:style w:type="paragraph" w:styleId="Idzet">
    <w:name w:val="Quote"/>
    <w:basedOn w:val="Norml"/>
    <w:next w:val="Norml"/>
    <w:link w:val="IdzetChar"/>
    <w:uiPriority w:val="99"/>
    <w:qFormat/>
    <w:rsid w:val="00634283"/>
    <w:rPr>
      <w:i/>
      <w:iCs/>
      <w:color w:val="000000" w:themeColor="text1"/>
    </w:rPr>
  </w:style>
  <w:style w:type="character" w:customStyle="1" w:styleId="IdzetChar">
    <w:name w:val="Idézet Char"/>
    <w:basedOn w:val="Bekezdsalapbettpusa"/>
    <w:link w:val="Idzet"/>
    <w:uiPriority w:val="99"/>
    <w:rsid w:val="00634283"/>
    <w:rPr>
      <w:i/>
      <w:iCs/>
      <w:color w:val="000000" w:themeColor="text1"/>
    </w:rPr>
  </w:style>
  <w:style w:type="paragraph" w:styleId="brajegyzk">
    <w:name w:val="table of figures"/>
    <w:basedOn w:val="Norml"/>
    <w:next w:val="Norml"/>
    <w:uiPriority w:val="99"/>
    <w:unhideWhenUsed/>
    <w:qFormat/>
    <w:rsid w:val="00634283"/>
    <w:pPr>
      <w:spacing w:after="0"/>
    </w:pPr>
  </w:style>
  <w:style w:type="character" w:styleId="Jegyzethivatkozs">
    <w:name w:val="annotation reference"/>
    <w:basedOn w:val="Bekezdsalapbettpusa"/>
    <w:uiPriority w:val="99"/>
    <w:semiHidden/>
    <w:unhideWhenUsed/>
    <w:rsid w:val="00D3524A"/>
    <w:rPr>
      <w:sz w:val="16"/>
      <w:szCs w:val="16"/>
    </w:rPr>
  </w:style>
  <w:style w:type="paragraph" w:styleId="Jegyzetszveg">
    <w:name w:val="annotation text"/>
    <w:basedOn w:val="Norml"/>
    <w:link w:val="JegyzetszvegChar"/>
    <w:uiPriority w:val="99"/>
    <w:semiHidden/>
    <w:unhideWhenUsed/>
    <w:rsid w:val="00D3524A"/>
    <w:pPr>
      <w:spacing w:line="240" w:lineRule="auto"/>
    </w:pPr>
    <w:rPr>
      <w:sz w:val="20"/>
      <w:szCs w:val="20"/>
    </w:rPr>
  </w:style>
  <w:style w:type="character" w:customStyle="1" w:styleId="JegyzetszvegChar">
    <w:name w:val="Jegyzetszöveg Char"/>
    <w:basedOn w:val="Bekezdsalapbettpusa"/>
    <w:link w:val="Jegyzetszveg"/>
    <w:uiPriority w:val="99"/>
    <w:semiHidden/>
    <w:rsid w:val="00D3524A"/>
    <w:rPr>
      <w:sz w:val="20"/>
      <w:szCs w:val="20"/>
    </w:rPr>
  </w:style>
  <w:style w:type="paragraph" w:styleId="Megjegyzstrgya">
    <w:name w:val="annotation subject"/>
    <w:basedOn w:val="Jegyzetszveg"/>
    <w:next w:val="Jegyzetszveg"/>
    <w:link w:val="MegjegyzstrgyaChar"/>
    <w:uiPriority w:val="99"/>
    <w:semiHidden/>
    <w:unhideWhenUsed/>
    <w:rsid w:val="00D3524A"/>
    <w:rPr>
      <w:b/>
      <w:bCs/>
    </w:rPr>
  </w:style>
  <w:style w:type="character" w:customStyle="1" w:styleId="MegjegyzstrgyaChar">
    <w:name w:val="Megjegyzés tárgya Char"/>
    <w:basedOn w:val="JegyzetszvegChar"/>
    <w:link w:val="Megjegyzstrgya"/>
    <w:uiPriority w:val="99"/>
    <w:semiHidden/>
    <w:rsid w:val="00D3524A"/>
    <w:rPr>
      <w:b/>
      <w:bCs/>
      <w:sz w:val="20"/>
      <w:szCs w:val="20"/>
    </w:rPr>
  </w:style>
  <w:style w:type="paragraph" w:styleId="Vltozat">
    <w:name w:val="Revision"/>
    <w:hidden/>
    <w:uiPriority w:val="99"/>
    <w:semiHidden/>
    <w:rsid w:val="00D94DEB"/>
    <w:pPr>
      <w:spacing w:after="0" w:line="240" w:lineRule="auto"/>
    </w:pPr>
  </w:style>
  <w:style w:type="character" w:customStyle="1" w:styleId="apple-converted-space">
    <w:name w:val="apple-converted-space"/>
    <w:basedOn w:val="Bekezdsalapbettpusa"/>
    <w:rsid w:val="002E1057"/>
  </w:style>
  <w:style w:type="character" w:customStyle="1" w:styleId="Cmsor2Char">
    <w:name w:val="Címsor 2 Char"/>
    <w:basedOn w:val="Bekezdsalapbettpusa"/>
    <w:link w:val="Cmsor2"/>
    <w:uiPriority w:val="9"/>
    <w:rsid w:val="00EC0992"/>
    <w:rPr>
      <w:rFonts w:asciiTheme="majorHAnsi" w:eastAsiaTheme="majorEastAsia" w:hAnsiTheme="majorHAnsi" w:cstheme="majorBidi"/>
      <w:b/>
      <w:bCs/>
      <w:color w:val="4F81BD" w:themeColor="accent1"/>
      <w:sz w:val="26"/>
      <w:szCs w:val="26"/>
    </w:rPr>
  </w:style>
  <w:style w:type="paragraph" w:customStyle="1" w:styleId="BodyText31">
    <w:name w:val="Body Text 31"/>
    <w:basedOn w:val="Norml"/>
    <w:rsid w:val="00EC0992"/>
    <w:pPr>
      <w:suppressAutoHyphens/>
      <w:spacing w:after="120" w:line="240" w:lineRule="auto"/>
      <w:jc w:val="both"/>
    </w:pPr>
    <w:rPr>
      <w:rFonts w:ascii="Arial" w:eastAsia="Times New Roman" w:hAnsi="Arial" w:cs="Arial"/>
      <w:i/>
      <w:sz w:val="20"/>
      <w:szCs w:val="16"/>
      <w:lang w:eastAsia="zh-CN"/>
    </w:rPr>
  </w:style>
  <w:style w:type="paragraph" w:customStyle="1" w:styleId="StlusSzvegtrzsArialUtna0pt">
    <w:name w:val="Stílus Szövegtörzs + Arial Utána:  0 pt"/>
    <w:basedOn w:val="Szvegtrzs"/>
    <w:rsid w:val="00560C86"/>
    <w:pPr>
      <w:spacing w:before="0" w:line="240" w:lineRule="auto"/>
    </w:pPr>
    <w:rPr>
      <w:rFonts w:cs="Times New Roman"/>
      <w:szCs w:val="20"/>
    </w:rPr>
  </w:style>
  <w:style w:type="character" w:customStyle="1" w:styleId="llbChar">
    <w:name w:val="Élőláb Char"/>
    <w:basedOn w:val="Bekezdsalapbettpusa"/>
    <w:uiPriority w:val="99"/>
    <w:rsid w:val="0015202C"/>
  </w:style>
  <w:style w:type="paragraph" w:customStyle="1" w:styleId="Cmsor3">
    <w:name w:val="Címsor3"/>
    <w:basedOn w:val="Cmsor2"/>
    <w:uiPriority w:val="99"/>
    <w:rsid w:val="0015202C"/>
    <w:pPr>
      <w:keepLines w:val="0"/>
      <w:spacing w:before="120" w:after="60" w:line="360" w:lineRule="auto"/>
      <w:jc w:val="center"/>
    </w:pPr>
    <w:rPr>
      <w:rFonts w:ascii="Arial" w:eastAsia="Times New Roman" w:hAnsi="Arial" w:cs="Arial"/>
      <w:color w:val="auto"/>
      <w:sz w:val="24"/>
      <w:szCs w:val="24"/>
      <w:lang w:eastAsia="hu-HU"/>
    </w:rPr>
  </w:style>
  <w:style w:type="character" w:customStyle="1" w:styleId="lfejChar">
    <w:name w:val="Élőfej Char"/>
    <w:basedOn w:val="Bekezdsalapbettpusa"/>
    <w:rsid w:val="00B51A36"/>
  </w:style>
  <w:style w:type="paragraph" w:styleId="Vgjegyzetszvege">
    <w:name w:val="endnote text"/>
    <w:basedOn w:val="Norml"/>
    <w:link w:val="VgjegyzetszvegeChar"/>
    <w:uiPriority w:val="99"/>
    <w:semiHidden/>
    <w:unhideWhenUsed/>
    <w:rsid w:val="00952B07"/>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952B07"/>
    <w:rPr>
      <w:sz w:val="20"/>
      <w:szCs w:val="20"/>
    </w:rPr>
  </w:style>
  <w:style w:type="character" w:styleId="Vgjegyzet-hivatkozs">
    <w:name w:val="endnote reference"/>
    <w:basedOn w:val="Bekezdsalapbettpusa"/>
    <w:uiPriority w:val="99"/>
    <w:semiHidden/>
    <w:unhideWhenUsed/>
    <w:rsid w:val="00952B07"/>
    <w:rPr>
      <w:vertAlign w:val="superscript"/>
    </w:rPr>
  </w:style>
  <w:style w:type="paragraph" w:customStyle="1" w:styleId="GVIszovegtorzs">
    <w:name w:val="GVI_szovegtorzs"/>
    <w:basedOn w:val="Szvegtrzs"/>
    <w:qFormat/>
    <w:rsid w:val="00903809"/>
    <w:pPr>
      <w:suppressAutoHyphens w:val="0"/>
      <w:spacing w:before="0" w:line="240" w:lineRule="auto"/>
      <w:ind w:firstLine="567"/>
    </w:pPr>
    <w:rPr>
      <w:rFonts w:cs="Times New Roman"/>
      <w:lang w:eastAsia="hu-HU"/>
    </w:rPr>
  </w:style>
  <w:style w:type="character" w:customStyle="1" w:styleId="szovegtorzsChar">
    <w:name w:val="szovegtorzs Char"/>
    <w:basedOn w:val="Bekezdsalapbettpusa"/>
    <w:link w:val="szovegtorzs"/>
    <w:locked/>
    <w:rsid w:val="002B7063"/>
    <w:rPr>
      <w:rFonts w:ascii="Palatino Linotype" w:eastAsia="Times New Roman" w:hAnsi="Palatino Linotype" w:cs="Arial"/>
      <w:bCs/>
      <w:color w:val="404040" w:themeColor="text1" w:themeTint="BF"/>
      <w:sz w:val="24"/>
      <w:szCs w:val="24"/>
      <w:lang w:eastAsia="hu-HU"/>
    </w:rPr>
  </w:style>
  <w:style w:type="paragraph" w:customStyle="1" w:styleId="szovegtorzs">
    <w:name w:val="szovegtorzs"/>
    <w:basedOn w:val="Norml"/>
    <w:link w:val="szovegtorzsChar"/>
    <w:qFormat/>
    <w:rsid w:val="002B7063"/>
    <w:pPr>
      <w:spacing w:before="120" w:after="120" w:line="240" w:lineRule="auto"/>
      <w:jc w:val="both"/>
    </w:pPr>
    <w:rPr>
      <w:rFonts w:eastAsia="Times New Roman" w:cs="Arial"/>
      <w:bCs/>
      <w:color w:val="404040" w:themeColor="text1" w:themeTint="BF"/>
      <w:sz w:val="24"/>
      <w:szCs w:val="24"/>
      <w:lang w:eastAsia="hu-HU"/>
    </w:rPr>
  </w:style>
  <w:style w:type="paragraph" w:customStyle="1" w:styleId="GVIlbjegyzet">
    <w:name w:val="GVI lábjegyzet"/>
    <w:basedOn w:val="Lbjegyzetszveg"/>
    <w:uiPriority w:val="99"/>
    <w:rsid w:val="001E0D65"/>
    <w:rPr>
      <w:rFonts w:ascii="Arial" w:eastAsia="Times New Roman" w:hAnsi="Arial" w:cs="Arial"/>
      <w:lang w:eastAsia="hu-HU"/>
    </w:rPr>
  </w:style>
  <w:style w:type="paragraph" w:styleId="Kpalrs">
    <w:name w:val="caption"/>
    <w:basedOn w:val="Norml"/>
    <w:next w:val="Norml"/>
    <w:uiPriority w:val="35"/>
    <w:unhideWhenUsed/>
    <w:qFormat/>
    <w:rsid w:val="00403CF6"/>
    <w:pPr>
      <w:spacing w:line="240" w:lineRule="auto"/>
    </w:pPr>
    <w:rPr>
      <w:b/>
      <w:bCs/>
      <w:color w:val="4F81BD" w:themeColor="accent1"/>
      <w:sz w:val="18"/>
      <w:szCs w:val="18"/>
    </w:rPr>
  </w:style>
  <w:style w:type="paragraph" w:customStyle="1" w:styleId="szovegtorzs0">
    <w:name w:val="szovegtorzs_"/>
    <w:basedOn w:val="Norml"/>
    <w:link w:val="szovegtorzsChar0"/>
    <w:qFormat/>
    <w:rsid w:val="00D31591"/>
    <w:pPr>
      <w:spacing w:after="120" w:line="360" w:lineRule="auto"/>
      <w:jc w:val="both"/>
    </w:pPr>
    <w:rPr>
      <w:rFonts w:eastAsiaTheme="minorEastAsia" w:cs="Times New Roman"/>
      <w:sz w:val="24"/>
      <w:szCs w:val="24"/>
      <w:lang w:eastAsia="hu-HU"/>
    </w:rPr>
  </w:style>
  <w:style w:type="character" w:customStyle="1" w:styleId="szovegtorzsChar0">
    <w:name w:val="szovegtorzs_ Char"/>
    <w:basedOn w:val="Bekezdsalapbettpusa"/>
    <w:link w:val="szovegtorzs0"/>
    <w:rsid w:val="00D31591"/>
    <w:rPr>
      <w:rFonts w:ascii="Palatino Linotype" w:eastAsiaTheme="minorEastAsia" w:hAnsi="Palatino Linotype"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79743">
      <w:bodyDiv w:val="1"/>
      <w:marLeft w:val="0"/>
      <w:marRight w:val="0"/>
      <w:marTop w:val="0"/>
      <w:marBottom w:val="0"/>
      <w:divBdr>
        <w:top w:val="none" w:sz="0" w:space="0" w:color="auto"/>
        <w:left w:val="none" w:sz="0" w:space="0" w:color="auto"/>
        <w:bottom w:val="none" w:sz="0" w:space="0" w:color="auto"/>
        <w:right w:val="none" w:sz="0" w:space="0" w:color="auto"/>
      </w:divBdr>
    </w:div>
    <w:div w:id="342778431">
      <w:bodyDiv w:val="1"/>
      <w:marLeft w:val="0"/>
      <w:marRight w:val="0"/>
      <w:marTop w:val="0"/>
      <w:marBottom w:val="0"/>
      <w:divBdr>
        <w:top w:val="none" w:sz="0" w:space="0" w:color="auto"/>
        <w:left w:val="none" w:sz="0" w:space="0" w:color="auto"/>
        <w:bottom w:val="none" w:sz="0" w:space="0" w:color="auto"/>
        <w:right w:val="none" w:sz="0" w:space="0" w:color="auto"/>
      </w:divBdr>
    </w:div>
    <w:div w:id="362440174">
      <w:bodyDiv w:val="1"/>
      <w:marLeft w:val="0"/>
      <w:marRight w:val="0"/>
      <w:marTop w:val="0"/>
      <w:marBottom w:val="0"/>
      <w:divBdr>
        <w:top w:val="none" w:sz="0" w:space="0" w:color="auto"/>
        <w:left w:val="none" w:sz="0" w:space="0" w:color="auto"/>
        <w:bottom w:val="none" w:sz="0" w:space="0" w:color="auto"/>
        <w:right w:val="none" w:sz="0" w:space="0" w:color="auto"/>
      </w:divBdr>
    </w:div>
    <w:div w:id="370299475">
      <w:bodyDiv w:val="1"/>
      <w:marLeft w:val="0"/>
      <w:marRight w:val="0"/>
      <w:marTop w:val="0"/>
      <w:marBottom w:val="0"/>
      <w:divBdr>
        <w:top w:val="none" w:sz="0" w:space="0" w:color="auto"/>
        <w:left w:val="none" w:sz="0" w:space="0" w:color="auto"/>
        <w:bottom w:val="none" w:sz="0" w:space="0" w:color="auto"/>
        <w:right w:val="none" w:sz="0" w:space="0" w:color="auto"/>
      </w:divBdr>
    </w:div>
    <w:div w:id="446900098">
      <w:bodyDiv w:val="1"/>
      <w:marLeft w:val="0"/>
      <w:marRight w:val="0"/>
      <w:marTop w:val="0"/>
      <w:marBottom w:val="0"/>
      <w:divBdr>
        <w:top w:val="none" w:sz="0" w:space="0" w:color="auto"/>
        <w:left w:val="none" w:sz="0" w:space="0" w:color="auto"/>
        <w:bottom w:val="none" w:sz="0" w:space="0" w:color="auto"/>
        <w:right w:val="none" w:sz="0" w:space="0" w:color="auto"/>
      </w:divBdr>
      <w:divsChild>
        <w:div w:id="1100835661">
          <w:marLeft w:val="0"/>
          <w:marRight w:val="0"/>
          <w:marTop w:val="0"/>
          <w:marBottom w:val="0"/>
          <w:divBdr>
            <w:top w:val="none" w:sz="0" w:space="0" w:color="auto"/>
            <w:left w:val="none" w:sz="0" w:space="0" w:color="auto"/>
            <w:bottom w:val="none" w:sz="0" w:space="0" w:color="auto"/>
            <w:right w:val="none" w:sz="0" w:space="0" w:color="auto"/>
          </w:divBdr>
        </w:div>
      </w:divsChild>
    </w:div>
    <w:div w:id="604851123">
      <w:bodyDiv w:val="1"/>
      <w:marLeft w:val="0"/>
      <w:marRight w:val="0"/>
      <w:marTop w:val="0"/>
      <w:marBottom w:val="0"/>
      <w:divBdr>
        <w:top w:val="none" w:sz="0" w:space="0" w:color="auto"/>
        <w:left w:val="none" w:sz="0" w:space="0" w:color="auto"/>
        <w:bottom w:val="none" w:sz="0" w:space="0" w:color="auto"/>
        <w:right w:val="none" w:sz="0" w:space="0" w:color="auto"/>
      </w:divBdr>
    </w:div>
    <w:div w:id="705526995">
      <w:bodyDiv w:val="1"/>
      <w:marLeft w:val="0"/>
      <w:marRight w:val="0"/>
      <w:marTop w:val="0"/>
      <w:marBottom w:val="0"/>
      <w:divBdr>
        <w:top w:val="none" w:sz="0" w:space="0" w:color="auto"/>
        <w:left w:val="none" w:sz="0" w:space="0" w:color="auto"/>
        <w:bottom w:val="none" w:sz="0" w:space="0" w:color="auto"/>
        <w:right w:val="none" w:sz="0" w:space="0" w:color="auto"/>
      </w:divBdr>
    </w:div>
    <w:div w:id="721441280">
      <w:bodyDiv w:val="1"/>
      <w:marLeft w:val="0"/>
      <w:marRight w:val="0"/>
      <w:marTop w:val="0"/>
      <w:marBottom w:val="0"/>
      <w:divBdr>
        <w:top w:val="none" w:sz="0" w:space="0" w:color="auto"/>
        <w:left w:val="none" w:sz="0" w:space="0" w:color="auto"/>
        <w:bottom w:val="none" w:sz="0" w:space="0" w:color="auto"/>
        <w:right w:val="none" w:sz="0" w:space="0" w:color="auto"/>
      </w:divBdr>
    </w:div>
    <w:div w:id="744768676">
      <w:bodyDiv w:val="1"/>
      <w:marLeft w:val="0"/>
      <w:marRight w:val="0"/>
      <w:marTop w:val="0"/>
      <w:marBottom w:val="0"/>
      <w:divBdr>
        <w:top w:val="none" w:sz="0" w:space="0" w:color="auto"/>
        <w:left w:val="none" w:sz="0" w:space="0" w:color="auto"/>
        <w:bottom w:val="none" w:sz="0" w:space="0" w:color="auto"/>
        <w:right w:val="none" w:sz="0" w:space="0" w:color="auto"/>
      </w:divBdr>
    </w:div>
    <w:div w:id="861019198">
      <w:bodyDiv w:val="1"/>
      <w:marLeft w:val="0"/>
      <w:marRight w:val="0"/>
      <w:marTop w:val="0"/>
      <w:marBottom w:val="0"/>
      <w:divBdr>
        <w:top w:val="none" w:sz="0" w:space="0" w:color="auto"/>
        <w:left w:val="none" w:sz="0" w:space="0" w:color="auto"/>
        <w:bottom w:val="none" w:sz="0" w:space="0" w:color="auto"/>
        <w:right w:val="none" w:sz="0" w:space="0" w:color="auto"/>
      </w:divBdr>
    </w:div>
    <w:div w:id="923102096">
      <w:bodyDiv w:val="1"/>
      <w:marLeft w:val="0"/>
      <w:marRight w:val="0"/>
      <w:marTop w:val="0"/>
      <w:marBottom w:val="0"/>
      <w:divBdr>
        <w:top w:val="none" w:sz="0" w:space="0" w:color="auto"/>
        <w:left w:val="none" w:sz="0" w:space="0" w:color="auto"/>
        <w:bottom w:val="none" w:sz="0" w:space="0" w:color="auto"/>
        <w:right w:val="none" w:sz="0" w:space="0" w:color="auto"/>
      </w:divBdr>
    </w:div>
    <w:div w:id="1074205636">
      <w:bodyDiv w:val="1"/>
      <w:marLeft w:val="0"/>
      <w:marRight w:val="0"/>
      <w:marTop w:val="0"/>
      <w:marBottom w:val="0"/>
      <w:divBdr>
        <w:top w:val="none" w:sz="0" w:space="0" w:color="auto"/>
        <w:left w:val="none" w:sz="0" w:space="0" w:color="auto"/>
        <w:bottom w:val="none" w:sz="0" w:space="0" w:color="auto"/>
        <w:right w:val="none" w:sz="0" w:space="0" w:color="auto"/>
      </w:divBdr>
    </w:div>
    <w:div w:id="1197156983">
      <w:bodyDiv w:val="1"/>
      <w:marLeft w:val="0"/>
      <w:marRight w:val="0"/>
      <w:marTop w:val="0"/>
      <w:marBottom w:val="0"/>
      <w:divBdr>
        <w:top w:val="none" w:sz="0" w:space="0" w:color="auto"/>
        <w:left w:val="none" w:sz="0" w:space="0" w:color="auto"/>
        <w:bottom w:val="none" w:sz="0" w:space="0" w:color="auto"/>
        <w:right w:val="none" w:sz="0" w:space="0" w:color="auto"/>
      </w:divBdr>
    </w:div>
    <w:div w:id="1270049086">
      <w:bodyDiv w:val="1"/>
      <w:marLeft w:val="0"/>
      <w:marRight w:val="0"/>
      <w:marTop w:val="0"/>
      <w:marBottom w:val="0"/>
      <w:divBdr>
        <w:top w:val="none" w:sz="0" w:space="0" w:color="auto"/>
        <w:left w:val="none" w:sz="0" w:space="0" w:color="auto"/>
        <w:bottom w:val="none" w:sz="0" w:space="0" w:color="auto"/>
        <w:right w:val="none" w:sz="0" w:space="0" w:color="auto"/>
      </w:divBdr>
    </w:div>
    <w:div w:id="1313561308">
      <w:bodyDiv w:val="1"/>
      <w:marLeft w:val="0"/>
      <w:marRight w:val="0"/>
      <w:marTop w:val="0"/>
      <w:marBottom w:val="0"/>
      <w:divBdr>
        <w:top w:val="none" w:sz="0" w:space="0" w:color="auto"/>
        <w:left w:val="none" w:sz="0" w:space="0" w:color="auto"/>
        <w:bottom w:val="none" w:sz="0" w:space="0" w:color="auto"/>
        <w:right w:val="none" w:sz="0" w:space="0" w:color="auto"/>
      </w:divBdr>
    </w:div>
    <w:div w:id="1315525346">
      <w:bodyDiv w:val="1"/>
      <w:marLeft w:val="0"/>
      <w:marRight w:val="0"/>
      <w:marTop w:val="0"/>
      <w:marBottom w:val="0"/>
      <w:divBdr>
        <w:top w:val="none" w:sz="0" w:space="0" w:color="auto"/>
        <w:left w:val="none" w:sz="0" w:space="0" w:color="auto"/>
        <w:bottom w:val="none" w:sz="0" w:space="0" w:color="auto"/>
        <w:right w:val="none" w:sz="0" w:space="0" w:color="auto"/>
      </w:divBdr>
    </w:div>
    <w:div w:id="1357121336">
      <w:bodyDiv w:val="1"/>
      <w:marLeft w:val="0"/>
      <w:marRight w:val="0"/>
      <w:marTop w:val="0"/>
      <w:marBottom w:val="0"/>
      <w:divBdr>
        <w:top w:val="none" w:sz="0" w:space="0" w:color="auto"/>
        <w:left w:val="none" w:sz="0" w:space="0" w:color="auto"/>
        <w:bottom w:val="none" w:sz="0" w:space="0" w:color="auto"/>
        <w:right w:val="none" w:sz="0" w:space="0" w:color="auto"/>
      </w:divBdr>
    </w:div>
    <w:div w:id="1607232272">
      <w:bodyDiv w:val="1"/>
      <w:marLeft w:val="0"/>
      <w:marRight w:val="0"/>
      <w:marTop w:val="0"/>
      <w:marBottom w:val="0"/>
      <w:divBdr>
        <w:top w:val="none" w:sz="0" w:space="0" w:color="auto"/>
        <w:left w:val="none" w:sz="0" w:space="0" w:color="auto"/>
        <w:bottom w:val="none" w:sz="0" w:space="0" w:color="auto"/>
        <w:right w:val="none" w:sz="0" w:space="0" w:color="auto"/>
      </w:divBdr>
    </w:div>
    <w:div w:id="1634022625">
      <w:bodyDiv w:val="1"/>
      <w:marLeft w:val="0"/>
      <w:marRight w:val="0"/>
      <w:marTop w:val="0"/>
      <w:marBottom w:val="0"/>
      <w:divBdr>
        <w:top w:val="none" w:sz="0" w:space="0" w:color="auto"/>
        <w:left w:val="none" w:sz="0" w:space="0" w:color="auto"/>
        <w:bottom w:val="none" w:sz="0" w:space="0" w:color="auto"/>
        <w:right w:val="none" w:sz="0" w:space="0" w:color="auto"/>
      </w:divBdr>
    </w:div>
    <w:div w:id="1691688304">
      <w:bodyDiv w:val="1"/>
      <w:marLeft w:val="0"/>
      <w:marRight w:val="0"/>
      <w:marTop w:val="0"/>
      <w:marBottom w:val="0"/>
      <w:divBdr>
        <w:top w:val="none" w:sz="0" w:space="0" w:color="auto"/>
        <w:left w:val="none" w:sz="0" w:space="0" w:color="auto"/>
        <w:bottom w:val="none" w:sz="0" w:space="0" w:color="auto"/>
        <w:right w:val="none" w:sz="0" w:space="0" w:color="auto"/>
      </w:divBdr>
    </w:div>
    <w:div w:id="1724909623">
      <w:bodyDiv w:val="1"/>
      <w:marLeft w:val="0"/>
      <w:marRight w:val="0"/>
      <w:marTop w:val="0"/>
      <w:marBottom w:val="0"/>
      <w:divBdr>
        <w:top w:val="none" w:sz="0" w:space="0" w:color="auto"/>
        <w:left w:val="none" w:sz="0" w:space="0" w:color="auto"/>
        <w:bottom w:val="none" w:sz="0" w:space="0" w:color="auto"/>
        <w:right w:val="none" w:sz="0" w:space="0" w:color="auto"/>
      </w:divBdr>
    </w:div>
    <w:div w:id="2020572925">
      <w:bodyDiv w:val="1"/>
      <w:marLeft w:val="0"/>
      <w:marRight w:val="0"/>
      <w:marTop w:val="0"/>
      <w:marBottom w:val="0"/>
      <w:divBdr>
        <w:top w:val="none" w:sz="0" w:space="0" w:color="auto"/>
        <w:left w:val="none" w:sz="0" w:space="0" w:color="auto"/>
        <w:bottom w:val="none" w:sz="0" w:space="0" w:color="auto"/>
        <w:right w:val="none" w:sz="0" w:space="0" w:color="auto"/>
      </w:divBdr>
    </w:div>
    <w:div w:id="2139637334">
      <w:bodyDiv w:val="1"/>
      <w:marLeft w:val="0"/>
      <w:marRight w:val="0"/>
      <w:marTop w:val="0"/>
      <w:marBottom w:val="0"/>
      <w:divBdr>
        <w:top w:val="none" w:sz="0" w:space="0" w:color="auto"/>
        <w:left w:val="none" w:sz="0" w:space="0" w:color="auto"/>
        <w:bottom w:val="none" w:sz="0" w:space="0" w:color="auto"/>
        <w:right w:val="none" w:sz="0" w:space="0" w:color="auto"/>
      </w:divBdr>
    </w:div>
    <w:div w:id="214349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www.cesifo-group.de/ifoHome/facts/Survey-Results/Business-Climate/"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orldeconomiccalendar.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gvi.h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insee.fr/en/themes/indicateur.asp?id=105"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eader" Target="header3.xml"/><Relationship Id="rId22" Type="http://schemas.openxmlformats.org/officeDocument/2006/relationships/hyperlink" Target="mailto:gvi@gvi.hu" TargetMode="External"/><Relationship Id="rId27" Type="http://schemas.openxmlformats.org/officeDocument/2006/relationships/header" Target="header6.xml"/></Relationships>
</file>

<file path=word/_rels/footer2.xml.rels><?xml version="1.0" encoding="UTF-8" standalone="yes"?>
<Relationships xmlns="http://schemas.openxmlformats.org/package/2006/relationships"><Relationship Id="rId2" Type="http://schemas.openxmlformats.org/officeDocument/2006/relationships/hyperlink" Target="http://www.gvi.hu" TargetMode="External"/><Relationship Id="rId1" Type="http://schemas.openxmlformats.org/officeDocument/2006/relationships/hyperlink" Target="mailto:gvi@gvi.hu"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gvi.hu" TargetMode="External"/><Relationship Id="rId1" Type="http://schemas.openxmlformats.org/officeDocument/2006/relationships/hyperlink" Target="mailto:gvi@gvi.hu"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gvi.hu" TargetMode="External"/><Relationship Id="rId1" Type="http://schemas.openxmlformats.org/officeDocument/2006/relationships/hyperlink" Target="mailto:gvi@gvi.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C84D1-BCA2-4C38-9D63-5A44FC4D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3272</Words>
  <Characters>22578</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MKIK GVI</dc:creator>
  <cp:lastModifiedBy>GVI</cp:lastModifiedBy>
  <cp:revision>4</cp:revision>
  <cp:lastPrinted>2019-10-14T11:15:00Z</cp:lastPrinted>
  <dcterms:created xsi:type="dcterms:W3CDTF">2019-10-14T10:35:00Z</dcterms:created>
  <dcterms:modified xsi:type="dcterms:W3CDTF">2019-10-14T11:16:00Z</dcterms:modified>
</cp:coreProperties>
</file>