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648E3" w14:textId="77777777" w:rsidR="00A05B5D" w:rsidRPr="00A05B5D" w:rsidRDefault="00A05B5D" w:rsidP="00A05B5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Magyar Kereskedelmi és Iparkamara eljárási rendje az arany- ezüst- és bronz koszorús mestercím adományozásával kapcsolatban</w:t>
      </w:r>
    </w:p>
    <w:p w14:paraId="0576FF57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E5C09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mestervizsga célja</w:t>
      </w:r>
      <w:r w:rsidRPr="00A05B5D">
        <w:rPr>
          <w:rFonts w:ascii="Times New Roman" w:eastAsia="Calibri" w:hAnsi="Times New Roman" w:cs="Times New Roman"/>
          <w:sz w:val="24"/>
          <w:szCs w:val="24"/>
        </w:rPr>
        <w:t>, hogy a szakemberek számára biztosítsa a szakmai fejlődés és az egzisztenciális életpályamodell, karrier kialakításának lehetőségét, valamint a tanulóképzéshez és vállalkozásvezetéshez szükséges ismeretek elsajátítását. Tanúsítsa a vállalkozás működtetéséhez szükséges szakmai, gazdasági, pénzügyi, vezetési, munkaügyi és jogi ismeretek megszerzését és készségszintű ismeretét. Teremtse meg a szakmai megbecsülés, anyagi, erkölcsi elismerés és bizalom garanciáját.</w:t>
      </w:r>
    </w:p>
    <w:p w14:paraId="2A8D9E49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Ennek a folyamatnak kiemelt eseményeként, mint a hosszú időn keresztül, egyenletesen magas színvonalon végzett, erkölcsi és szakmai példamutatás terén is kimagasló teljesítményt nyújtó mesterek munkájának elismeréseként a Magyar Kereskedelmi és Iparkamara Mesterképzési és Mestervizsga Szabályzata 20. § (5) bekezdésében foglaltak alapján </w:t>
      </w:r>
      <w:r w:rsidRPr="00A05B5D">
        <w:rPr>
          <w:rFonts w:ascii="Times New Roman" w:eastAsia="Calibri" w:hAnsi="Times New Roman" w:cs="Times New Roman"/>
          <w:b/>
          <w:i/>
          <w:sz w:val="24"/>
          <w:szCs w:val="24"/>
        </w:rPr>
        <w:t>arany, ezüst és bronz koszorús mester cím adományozható</w:t>
      </w:r>
      <w:r w:rsidRPr="00A05B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FE2845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Az arany, ezüst és bronz koszorús mester címet a területi kereskedelmi és iparkamarák önálló döntési jogkör alapján a Magyar Kereskedelmi és Iparkamara Oktatási és Szakképzési Kollégiuma és a Kézműves Kollégium által kiadott egységes adományozási rend betartása mellett ítélik oda a jelölteknek.</w:t>
      </w:r>
    </w:p>
    <w:p w14:paraId="525B990F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0BC4EB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Az arany, ezüst és bronz koszorús mester cím adományozási feltételei:</w:t>
      </w:r>
    </w:p>
    <w:p w14:paraId="218E3780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 jelölt kiemelkedő erkölcsi és szakmai munkásságával meghatározó jelleggel kell, hogy hozzájáruljon a térség gazdasági fejlődéséhez a tanulóképzéshez és a szakmai utánpótlás neveléséhez. Magatartása, jelleme példamutató vállalkozó társai, valamint a tanulóifjúság számára egyaránt. Tudását folyamatosan magas szinten fejleszti, megmutatva azt az igényességet, mely lehetővé teszi a saját és az elkövetkezendő generációk számára a feddhetetlen és követendő szakmaiság megtestesülését. A cím adományozásához mestercímmel kell rendelkezni, továbbá</w:t>
      </w:r>
    </w:p>
    <w:p w14:paraId="67F3F1F4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Arany Koszorús Mester esetén legalább</w:t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  <w:t>30 év</w:t>
      </w:r>
    </w:p>
    <w:p w14:paraId="14961049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Ezüst Koszorús Mester esetén legalább</w:t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  <w:t>20 év</w:t>
      </w:r>
    </w:p>
    <w:p w14:paraId="5BFB708C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Bronz Koszorús Mester esetén legalább</w:t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</w:r>
      <w:r w:rsidRPr="00A05B5D">
        <w:rPr>
          <w:rFonts w:ascii="Times New Roman" w:eastAsia="Calibri" w:hAnsi="Times New Roman" w:cs="Times New Roman"/>
          <w:sz w:val="24"/>
          <w:szCs w:val="24"/>
        </w:rPr>
        <w:tab/>
        <w:t>10 év tevőlegesség és büntetlen előélet szükséges.</w:t>
      </w:r>
    </w:p>
    <w:p w14:paraId="5819954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 gyakorlat részidőkből is összeállhat, de az előírt gyakorlati időt az adott szakmában az utolsó időszakot Bronz Koszorús Mester esetén legalább 3 év, Ezüst Koszorús Mester esetén legalább 5 év, Arany Koszorús Mester esetén legalább 10 év összefüggően eltöltött gyakorlattal kell igazolni.</w:t>
      </w:r>
    </w:p>
    <w:p w14:paraId="687FDC1E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Az adományozás megítélésénél előnyt jelent a szakmai versenyen elért eredmények, folyamatos szakmai továbbképzéseken történő részvétel, tanulók képzése.</w:t>
      </w:r>
    </w:p>
    <w:p w14:paraId="0C2C4E4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C2E7E9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cím adományozására javaslatot tesz:</w:t>
      </w:r>
    </w:p>
    <w:p w14:paraId="4247966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Az adományozott személyére a területi kamara felé javaslat érkezhet kamara, szakmai szervezet vagy magánszemély(</w:t>
      </w:r>
      <w:proofErr w:type="spellStart"/>
      <w:r w:rsidRPr="00A05B5D">
        <w:rPr>
          <w:rFonts w:ascii="Times New Roman" w:eastAsia="Calibri" w:hAnsi="Times New Roman" w:cs="Times New Roman"/>
          <w:sz w:val="24"/>
          <w:szCs w:val="24"/>
        </w:rPr>
        <w:t>ek</w:t>
      </w:r>
      <w:proofErr w:type="spellEnd"/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) részéről. A javaslatokat írásban, indokolással ellátva lehet beterjeszteni. A felterjesztés és kinevezés dokumentációi 5 évig nem selejtezhetők. A beérkezett javaslatokat a területileg illetékes kereskedelmi és iparkamara elnöke által felhatalmazott és megbízott (határozott, vagy határozatlan időre) legalább 3, de legfeljebb 7 </w:t>
      </w:r>
      <w:r w:rsidRPr="00A05B5D">
        <w:rPr>
          <w:rFonts w:ascii="Times New Roman" w:eastAsia="Calibri" w:hAnsi="Times New Roman" w:cs="Times New Roman"/>
          <w:sz w:val="24"/>
          <w:szCs w:val="24"/>
        </w:rPr>
        <w:lastRenderedPageBreak/>
        <w:t>főből álló Adományozó Testület vizsgálja meg és dönt a cím elnyeréséről. A döntést a területi kamara elnöke, vagy általa kijelölt képviselője véglegesíti.</w:t>
      </w:r>
    </w:p>
    <w:p w14:paraId="4F61050B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0B4FDC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kitüntető cím visszavonása:</w:t>
      </w:r>
    </w:p>
    <w:p w14:paraId="45039518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A kitüntető cím mindhárom kategóriában visszavonható abban az esetben, ha az adományozott szakmailag és/ vagy </w:t>
      </w:r>
      <w:proofErr w:type="spellStart"/>
      <w:r w:rsidRPr="00A05B5D">
        <w:rPr>
          <w:rFonts w:ascii="Times New Roman" w:eastAsia="Calibri" w:hAnsi="Times New Roman" w:cs="Times New Roman"/>
          <w:sz w:val="24"/>
          <w:szCs w:val="24"/>
        </w:rPr>
        <w:t>etikailag</w:t>
      </w:r>
      <w:proofErr w:type="spellEnd"/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érdemtelenné válik a titulus viselésére. Vissza kell vonni az adományozott címet, ha a díjazott ellen büntető eljárás keretében jogerős bírói ítélet születik és/ vagy a gazdasági élet tisztasága ellen bármilyen módon vét.</w:t>
      </w:r>
    </w:p>
    <w:p w14:paraId="357BA25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 kitüntető cím visszavonásáról a területileg illetékes kereskedelmi és iparkamara által felállított független, legalább 3, de legfeljebb 7 fős testület dönt a területi kamara elnökének vezetésével. A visszavonó határozatot írásba kell foglalni. A döntésről a visszavonó határozatot hozó testület jelenlétében a testület elnöke az eljárás alá vont személyt szóban és írásban is tájékoztatni köteles. A kitüntető címtől való megfosztást követően az adományozott oklevelet és jelvényt be kell vonni.</w:t>
      </w:r>
    </w:p>
    <w:p w14:paraId="630EED24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Abban az esetben, ha az eljárás alá vont személy háromszori ajánlott levélben postázott értesítés ellenére sem jelenik meg a határozathozatal kihirdetésére, akkor ennek a ténynek jegyzőkönyvbe foglalását követően a kitüntető címtől megfosztásról szóló határozatot ajánlott- tértivevényes levél útján kell részére eljuttatni.</w:t>
      </w:r>
    </w:p>
    <w:p w14:paraId="4EAC779C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758D56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kitüntető cím átadása:</w:t>
      </w:r>
    </w:p>
    <w:p w14:paraId="3DBC0B23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 xml:space="preserve">Az arany, ezüst és bronz koszorús mester kitüntető cím 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évente egy alkalommal ünnepélyes keretek között, mindhárom kategória tekintetében legfeljebb öt- öt fő részére adható át. </w:t>
      </w:r>
      <w:r w:rsidRPr="00A05B5D">
        <w:rPr>
          <w:rFonts w:ascii="Times New Roman" w:eastAsia="Calibri" w:hAnsi="Times New Roman" w:cs="Times New Roman"/>
          <w:b/>
          <w:i/>
          <w:sz w:val="24"/>
          <w:szCs w:val="24"/>
        </w:rPr>
        <w:t>A kitüntetett személy jogosult az adományozott cím, valamint a területi kamara által átadott kitüntető jelvény, plakett, oklevél használatára, illetve a jelvény tekintetében annak viselésére.</w:t>
      </w:r>
    </w:p>
    <w:p w14:paraId="720410F5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Egy adott személynek, minden koszorús mesterszint csak egyszer adományozható.</w:t>
      </w:r>
    </w:p>
    <w:p w14:paraId="210B7FA4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 kitüntető jelvény: </w:t>
      </w:r>
      <w:r w:rsidRPr="00A05B5D">
        <w:rPr>
          <w:rFonts w:ascii="Times New Roman" w:eastAsia="Calibri" w:hAnsi="Times New Roman" w:cs="Times New Roman"/>
          <w:i/>
          <w:sz w:val="24"/>
          <w:szCs w:val="24"/>
        </w:rPr>
        <w:t>A kitüntető jelvény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18 mm átmérőjű, kör alakú arany, ezüst, illetve bronzszínű, front oldalán a körbefutó stilizált babérkoszorúval és a kitüntető cím megnevezésének feltüntetésével. (</w:t>
      </w:r>
      <w:r w:rsidRPr="00A05B5D">
        <w:rPr>
          <w:rFonts w:ascii="Times New Roman" w:eastAsia="Calibri" w:hAnsi="Times New Roman" w:cs="Times New Roman"/>
          <w:i/>
          <w:sz w:val="24"/>
          <w:szCs w:val="24"/>
        </w:rPr>
        <w:t>13/1. számú melléklet</w:t>
      </w:r>
      <w:r w:rsidRPr="00A05B5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12C7B23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i/>
          <w:sz w:val="24"/>
          <w:szCs w:val="24"/>
        </w:rPr>
        <w:t>Az oklevél: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A/3 fekvő formátumú oklevél. Az oklevél grafikájának változatlanul hagyása mellett a kitüntető cím adományozásának függvényében a keret- grafika, valamint a szövegben található hangsúlyos megjelenítések (díszoklevél megnevezés, a kitüntetett neve, adományozott cím megjelölése) arany, ezüst, vagy bronz kiemeléssel készül.</w:t>
      </w:r>
    </w:p>
    <w:p w14:paraId="327CCF46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  <w:u w:val="single"/>
        </w:rPr>
        <w:t>Az oklevél szövegezése: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5B5D">
        <w:rPr>
          <w:rFonts w:ascii="Times New Roman" w:eastAsia="Calibri" w:hAnsi="Times New Roman" w:cs="Times New Roman"/>
          <w:i/>
          <w:sz w:val="24"/>
          <w:szCs w:val="24"/>
        </w:rPr>
        <w:t xml:space="preserve">Díszoklevél XY részére, aki született XX (születési hely és dátum) a Magyar Kereskedelmi és Iparkamara Mesterképzési és Mestervizsga Szabályzatában foglaltak alapján a térség gazdasági fejlődésében betöltött kimagasló szakmai tevékenysége, valamint a tanulók képzésében és nevelésében betöltött példamutató szerepe alapján a(z) XXXXXXXXXXXX (kamara megnevezése) nevében XXXXXX (aranykoszorús, ezüstkoszorús, bronzkoszorús) mesterré nyilvánítom, dátum a területi kamara elnökének aláírása. Az oklevelek sorszámozott, szigorú számadású nyomtatványok. </w:t>
      </w:r>
      <w:r w:rsidRPr="00A05B5D">
        <w:rPr>
          <w:rFonts w:ascii="Times New Roman" w:eastAsia="Calibri" w:hAnsi="Times New Roman" w:cs="Times New Roman"/>
          <w:sz w:val="24"/>
          <w:szCs w:val="24"/>
        </w:rPr>
        <w:t>Az oklevél borítója bordó színű, valódi bőrből készült, oldal irányban nyitható fekvő formátumú mappa, melynek front oldalán az adományozó kamara megnevezése és az adományozás évszáma szerepel. (</w:t>
      </w:r>
      <w:r w:rsidRPr="00A05B5D">
        <w:rPr>
          <w:rFonts w:ascii="Times New Roman" w:eastAsia="Calibri" w:hAnsi="Times New Roman" w:cs="Times New Roman"/>
          <w:i/>
          <w:sz w:val="24"/>
          <w:szCs w:val="24"/>
        </w:rPr>
        <w:t>13/2. számú melléklet</w:t>
      </w:r>
      <w:r w:rsidRPr="00A05B5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92876EF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i/>
          <w:sz w:val="24"/>
          <w:szCs w:val="24"/>
        </w:rPr>
        <w:t>Emlékplakett: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70 mm átmérőjű, kör alakú arany, ezüst, bronzszínű, front oldalán a széleken a kitüntető jelvénynél megjelenő stilizált babérkoszorúval, a felső harmadban középen az adományozott cím megjelölésével, az emlékplakett közepén Magyarország címerét közrefogó két védőangyallal. (</w:t>
      </w:r>
      <w:r w:rsidRPr="00A05B5D">
        <w:rPr>
          <w:rFonts w:ascii="Times New Roman" w:eastAsia="Calibri" w:hAnsi="Times New Roman" w:cs="Times New Roman"/>
          <w:i/>
          <w:sz w:val="24"/>
          <w:szCs w:val="24"/>
        </w:rPr>
        <w:t>13/3. számú melléklet</w:t>
      </w:r>
      <w:r w:rsidRPr="00A05B5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067AC1B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A területi kamara, hasonlóan a mesterlevelek átadásánál rendszeresített nyilvántartó könyvhöz </w:t>
      </w:r>
      <w:r w:rsidRPr="00A05B5D">
        <w:rPr>
          <w:rFonts w:ascii="Times New Roman" w:eastAsia="Calibri" w:hAnsi="Times New Roman" w:cs="Times New Roman"/>
          <w:b/>
          <w:sz w:val="24"/>
          <w:szCs w:val="24"/>
        </w:rPr>
        <w:t>az adományozott címek átadásáról is köteles nyilvántartó könyvet vezetni.</w:t>
      </w:r>
      <w:r w:rsidRPr="00A05B5D">
        <w:rPr>
          <w:rFonts w:ascii="Times New Roman" w:eastAsia="Calibri" w:hAnsi="Times New Roman" w:cs="Times New Roman"/>
          <w:sz w:val="24"/>
          <w:szCs w:val="24"/>
        </w:rPr>
        <w:t xml:space="preserve"> A nyilvántartó könyv szigorú számadású nyomtatványnak minősül és nem selejtezhető.</w:t>
      </w:r>
    </w:p>
    <w:p w14:paraId="4442564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5B5D">
        <w:rPr>
          <w:rFonts w:ascii="Times New Roman" w:eastAsia="Calibri" w:hAnsi="Times New Roman" w:cs="Times New Roman"/>
          <w:sz w:val="24"/>
          <w:szCs w:val="24"/>
        </w:rPr>
        <w:t>Az egységes kitüntető jelvény, emlékplakett és oklevél megrendeléséről a kamaráktól beérkező előzetes igények alapján térítés ellenében a Magyar Kereskedelmi és Iparkamara Nonprofit Kft-je gondoskodik.</w:t>
      </w:r>
    </w:p>
    <w:p w14:paraId="3FF402A2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5B5D">
        <w:rPr>
          <w:rFonts w:ascii="Times New Roman" w:eastAsia="Calibri" w:hAnsi="Times New Roman" w:cs="Times New Roman"/>
          <w:b/>
          <w:sz w:val="24"/>
          <w:szCs w:val="24"/>
        </w:rPr>
        <w:t>A cím adományozásával járó összes költségről az adományozó területi kamarának saját költségvetése terhére kell gondoskodnia.</w:t>
      </w:r>
    </w:p>
    <w:p w14:paraId="0F15E6D5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453505" w14:textId="77777777" w:rsidR="00A05B5D" w:rsidRPr="00A05B5D" w:rsidRDefault="00A05B5D" w:rsidP="00A05B5D">
      <w:pPr>
        <w:spacing w:after="120" w:line="28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0FF122" w14:textId="77777777" w:rsidR="00A05B5D" w:rsidRPr="00A05B5D" w:rsidRDefault="00A05B5D" w:rsidP="00A05B5D">
      <w:pPr>
        <w:spacing w:after="0" w:line="276" w:lineRule="auto"/>
        <w:jc w:val="right"/>
        <w:rPr>
          <w:rFonts w:ascii="Times New Roman" w:eastAsia="Calibri" w:hAnsi="Times New Roman" w:cs="Calibri"/>
          <w:b/>
          <w:sz w:val="24"/>
          <w:szCs w:val="24"/>
        </w:rPr>
      </w:pPr>
      <w:r w:rsidRPr="00A05B5D">
        <w:rPr>
          <w:rFonts w:ascii="Times New Roman" w:eastAsia="Calibri" w:hAnsi="Times New Roman" w:cs="Calibri"/>
          <w:b/>
          <w:sz w:val="24"/>
          <w:szCs w:val="24"/>
        </w:rPr>
        <w:t>13/1. számú melléklet – Kitüntető jelvény (18mm)</w:t>
      </w:r>
    </w:p>
    <w:p w14:paraId="56A289E7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349159FB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4735BDB6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73BBCC8D" w14:textId="77777777" w:rsidR="00A05B5D" w:rsidRPr="00A05B5D" w:rsidRDefault="00A05B5D" w:rsidP="00A05B5D">
      <w:pPr>
        <w:spacing w:after="0" w:line="276" w:lineRule="auto"/>
        <w:jc w:val="center"/>
        <w:rPr>
          <w:rFonts w:ascii="Times New Roman" w:eastAsia="Calibri" w:hAnsi="Times New Roman" w:cs="Calibri"/>
          <w:sz w:val="24"/>
          <w:szCs w:val="24"/>
        </w:rPr>
      </w:pPr>
      <w:r w:rsidRPr="00A05B5D">
        <w:rPr>
          <w:rFonts w:ascii="Times New Roman" w:eastAsia="Calibri" w:hAnsi="Times New Roman" w:cs="Calibri"/>
          <w:noProof/>
          <w:sz w:val="24"/>
          <w:szCs w:val="24"/>
          <w:lang w:eastAsia="hu-HU"/>
        </w:rPr>
        <w:drawing>
          <wp:inline distT="0" distB="0" distL="0" distR="0" wp14:anchorId="0A030FDA" wp14:editId="3283D4D2">
            <wp:extent cx="5764530" cy="1718945"/>
            <wp:effectExtent l="0" t="0" r="7620" b="0"/>
            <wp:docPr id="2" name="Kép 2" descr="Z:\Aranykoszorús mester\Oklevél, plakett és jelvény\Jelve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Z:\Aranykoszorús mester\Oklevél, plakett és jelvény\Jelven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2A79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3CA11124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0A1B59DD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56532736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4F1417BC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50DF6E53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269836A1" w14:textId="77777777" w:rsidR="00A05B5D" w:rsidRPr="00A05B5D" w:rsidRDefault="00A05B5D" w:rsidP="00A05B5D">
      <w:pPr>
        <w:spacing w:after="0" w:line="276" w:lineRule="auto"/>
        <w:jc w:val="right"/>
        <w:rPr>
          <w:rFonts w:ascii="Times New Roman" w:eastAsia="Calibri" w:hAnsi="Times New Roman" w:cs="Calibri"/>
          <w:sz w:val="24"/>
          <w:szCs w:val="24"/>
        </w:rPr>
      </w:pPr>
      <w:r w:rsidRPr="00A05B5D">
        <w:rPr>
          <w:rFonts w:ascii="Times New Roman" w:eastAsia="Calibri" w:hAnsi="Times New Roman" w:cs="Calibri"/>
          <w:b/>
          <w:sz w:val="24"/>
          <w:szCs w:val="24"/>
        </w:rPr>
        <w:t xml:space="preserve">13/2. számú melléklet – Oklevél </w:t>
      </w:r>
    </w:p>
    <w:p w14:paraId="3874751D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66BD9CF8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</w:pPr>
    </w:p>
    <w:p w14:paraId="133BC238" w14:textId="77777777" w:rsidR="00A05B5D" w:rsidRPr="00A05B5D" w:rsidRDefault="00A05B5D" w:rsidP="00A05B5D">
      <w:pPr>
        <w:spacing w:after="0" w:line="276" w:lineRule="auto"/>
        <w:jc w:val="both"/>
        <w:rPr>
          <w:rFonts w:ascii="Times New Roman" w:eastAsia="Calibri" w:hAnsi="Times New Roman" w:cs="Calibri"/>
          <w:sz w:val="24"/>
          <w:szCs w:val="24"/>
        </w:rPr>
        <w:sectPr w:rsidR="00A05B5D" w:rsidRPr="00A05B5D" w:rsidSect="001664F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69695F0" w14:textId="77777777" w:rsidR="00A05B5D" w:rsidRPr="00A05B5D" w:rsidRDefault="00A05B5D" w:rsidP="00A05B5D">
      <w:pPr>
        <w:spacing w:after="0" w:line="276" w:lineRule="auto"/>
        <w:jc w:val="right"/>
        <w:rPr>
          <w:rFonts w:ascii="Times New Roman" w:eastAsia="Calibri" w:hAnsi="Times New Roman" w:cs="Calibri"/>
          <w:b/>
          <w:sz w:val="24"/>
          <w:szCs w:val="24"/>
        </w:rPr>
      </w:pPr>
      <w:r w:rsidRPr="00A05B5D">
        <w:rPr>
          <w:rFonts w:ascii="Times New Roman" w:eastAsia="Calibri" w:hAnsi="Times New Roman" w:cs="Calibri"/>
          <w:b/>
          <w:sz w:val="24"/>
          <w:szCs w:val="24"/>
        </w:rPr>
        <w:t>13/3. számú melléklet – Emlékplakett (70 mm)</w:t>
      </w:r>
    </w:p>
    <w:p w14:paraId="4AA158B3" w14:textId="7F887313" w:rsidR="00516B71" w:rsidRDefault="00516B71"/>
    <w:p w14:paraId="30B39325" w14:textId="7420B400" w:rsidR="00A05B5D" w:rsidRDefault="00A05B5D"/>
    <w:p w14:paraId="25A661BB" w14:textId="07484DDC" w:rsidR="00A05B5D" w:rsidRDefault="00A05B5D">
      <w:r w:rsidRPr="00926594">
        <w:rPr>
          <w:rFonts w:eastAsia="Calibri" w:cs="Calibri"/>
          <w:noProof/>
          <w:lang w:eastAsia="hu-HU"/>
        </w:rPr>
        <w:drawing>
          <wp:inline distT="0" distB="0" distL="0" distR="0" wp14:anchorId="7BDFA61E" wp14:editId="4DF4CBC0">
            <wp:extent cx="4835525" cy="4886325"/>
            <wp:effectExtent l="0" t="0" r="3175" b="9525"/>
            <wp:docPr id="1" name="Kép 1" descr="aranykoszorusmososit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anykoszorusmosositot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B5D"/>
    <w:rsid w:val="00516B71"/>
    <w:rsid w:val="00A0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E5A7D"/>
  <w15:chartTrackingRefBased/>
  <w15:docId w15:val="{DCBAF84F-F14E-4BF6-967A-6C342F2F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916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Csomor Marina</dc:creator>
  <cp:keywords/>
  <dc:description/>
  <cp:lastModifiedBy>Csomor Marina</cp:lastModifiedBy>
  <cp:revision>1</cp:revision>
  <dcterms:created xsi:type="dcterms:W3CDTF">2022-11-07T13:09:00Z</dcterms:created>
  <dcterms:modified xsi:type="dcterms:W3CDTF">2022-11-07T13:24:00Z</dcterms:modified>
</cp:coreProperties>
</file>