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3E3D04" w14:textId="77777777" w:rsidR="0098032B" w:rsidRPr="0098032B" w:rsidRDefault="0098032B" w:rsidP="0098032B">
      <w:pPr>
        <w:jc w:val="center"/>
        <w:rPr>
          <w:b/>
          <w:bCs/>
          <w:lang w:val="en-GB"/>
        </w:rPr>
      </w:pPr>
      <w:r w:rsidRPr="0098032B">
        <w:rPr>
          <w:b/>
          <w:bCs/>
          <w:lang w:val="en-GB"/>
        </w:rPr>
        <w:t>GUIDELINES ON THE USE OF ARTIFICIAL INTELLIGENCE IN ARBITRATION PROCEEDINGS OF THE PERMANENT ARBITRATION COURT ATTACHED TO THE HUNGARIAN CHAMBER OF COMMERCE AND INDUSTRY</w:t>
      </w:r>
    </w:p>
    <w:p w14:paraId="1FB7A4D6" w14:textId="07F7A4B7" w:rsidR="0098032B" w:rsidRPr="0098032B" w:rsidRDefault="0077027F" w:rsidP="0098032B">
      <w:pPr>
        <w:jc w:val="center"/>
        <w:rPr>
          <w:lang w:val="en-GB"/>
        </w:rPr>
      </w:pPr>
      <w:r>
        <w:rPr>
          <w:lang w:val="en-GB"/>
        </w:rPr>
        <w:t>Effective as of 1 January 2026</w:t>
      </w:r>
      <w:r>
        <w:rPr>
          <w:rStyle w:val="Lbjegyzet-hivatkozs"/>
          <w:lang w:val="en-GB"/>
        </w:rPr>
        <w:footnoteReference w:id="1"/>
      </w:r>
    </w:p>
    <w:p w14:paraId="79B1CA4B" w14:textId="77777777" w:rsidR="0098032B" w:rsidRPr="0098032B" w:rsidRDefault="0098032B" w:rsidP="0098032B">
      <w:pPr>
        <w:rPr>
          <w:b/>
          <w:bCs/>
          <w:lang w:val="en-GB"/>
        </w:rPr>
      </w:pPr>
      <w:r w:rsidRPr="0098032B">
        <w:rPr>
          <w:b/>
          <w:bCs/>
          <w:lang w:val="en-GB"/>
        </w:rPr>
        <w:t>PREAMBLE</w:t>
      </w:r>
    </w:p>
    <w:p w14:paraId="34AA982E" w14:textId="77777777" w:rsidR="0098032B" w:rsidRPr="0098032B" w:rsidRDefault="0098032B" w:rsidP="0098032B">
      <w:pPr>
        <w:rPr>
          <w:lang w:val="en-GB"/>
        </w:rPr>
      </w:pPr>
      <w:r w:rsidRPr="0098032B">
        <w:rPr>
          <w:lang w:val="en-GB"/>
        </w:rPr>
        <w:t>The Guidelines on the Use of Artificial Intelligence ("AI Guidelines") provide practical guidance for participants in arbitration proceedings conducted by the Permanent Arbitration Court attached to the Hungarian Chamber of Commerce and Industry ("HCCI AC"). As this technology rapidly evolves and becomes increasingly integrated into legal work and thus into arbitration proceedings, the Guidelines aim to harness the benefits of AI and enhance the efficiency of proceedings while preserving the integrity and confidentiality of arbitration proceedings and ensuring the enforceability of awards.</w:t>
      </w:r>
    </w:p>
    <w:p w14:paraId="0F9CFD26" w14:textId="77777777" w:rsidR="0098032B" w:rsidRPr="0098032B" w:rsidRDefault="0098032B" w:rsidP="0098032B">
      <w:pPr>
        <w:rPr>
          <w:lang w:val="en-GB"/>
        </w:rPr>
      </w:pPr>
      <w:r w:rsidRPr="0098032B">
        <w:rPr>
          <w:i/>
          <w:iCs/>
          <w:lang w:val="en-GB"/>
        </w:rPr>
        <w:t>Commentary: The Guidelines prioritize the development of pragmatic solutions and build upon the experiences of arbitration institutions facing similar challenges.</w:t>
      </w:r>
    </w:p>
    <w:p w14:paraId="14A84584" w14:textId="77777777" w:rsidR="0098032B" w:rsidRPr="0098032B" w:rsidRDefault="0098032B" w:rsidP="0098032B">
      <w:pPr>
        <w:rPr>
          <w:lang w:val="en-GB"/>
        </w:rPr>
      </w:pPr>
      <w:r w:rsidRPr="0098032B">
        <w:rPr>
          <w:i/>
          <w:iCs/>
          <w:lang w:val="en-GB"/>
        </w:rPr>
        <w:t>The commentary attached to the Guidelines is intended solely to provide information to users to assist them in understanding and applying the provisions. The commentary is not part of the normative content of the Guidelines.</w:t>
      </w:r>
    </w:p>
    <w:p w14:paraId="167FA0F6" w14:textId="77777777" w:rsidR="0098032B" w:rsidRPr="0098032B" w:rsidRDefault="0098032B" w:rsidP="0098032B">
      <w:pPr>
        <w:rPr>
          <w:b/>
          <w:bCs/>
          <w:lang w:val="en-GB"/>
        </w:rPr>
      </w:pPr>
      <w:r w:rsidRPr="0098032B">
        <w:rPr>
          <w:b/>
          <w:bCs/>
          <w:lang w:val="en-GB"/>
        </w:rPr>
        <w:t>ARTICLE 1: SCOPE</w:t>
      </w:r>
    </w:p>
    <w:p w14:paraId="394EC633" w14:textId="77777777" w:rsidR="0098032B" w:rsidRPr="0098032B" w:rsidRDefault="0098032B" w:rsidP="0098032B">
      <w:pPr>
        <w:rPr>
          <w:lang w:val="en-GB"/>
        </w:rPr>
      </w:pPr>
      <w:r w:rsidRPr="0098032B">
        <w:rPr>
          <w:lang w:val="en-GB"/>
        </w:rPr>
        <w:t>1.1. The AI Guidelines shall apply to all participants in proceedings before the Permanent Arbitration Court attached to the Hungarian Chamber of Commerce and Industry (without prejudice to Section 1.2), including arbitrators, Parties, representatives and, where applicable, arbitral secretaries. Parties and their representatives shall make all reasonable efforts to ensure that all persons involved in the proceedings at their request or nomination, including witnesses and expert witnesses, comply with the provisions of the Guidelines. The President of the Permanent Arbitration Court attached to the Hungarian Chamber of Commerce and Industry shall ensure that the administrative staff of the Secretariat comply with the Guidelines in their activities related to arbitration proceedings.</w:t>
      </w:r>
    </w:p>
    <w:p w14:paraId="1E165B49" w14:textId="77777777" w:rsidR="0098032B" w:rsidRPr="0098032B" w:rsidRDefault="0098032B" w:rsidP="0098032B">
      <w:pPr>
        <w:rPr>
          <w:lang w:val="en-GB"/>
        </w:rPr>
      </w:pPr>
      <w:r w:rsidRPr="0098032B">
        <w:rPr>
          <w:lang w:val="en-GB"/>
        </w:rPr>
        <w:t>1.2. The AI Guidelines are non-binding recommendations.</w:t>
      </w:r>
    </w:p>
    <w:p w14:paraId="5AB8C14E" w14:textId="77777777" w:rsidR="0098032B" w:rsidRPr="0098032B" w:rsidRDefault="0098032B" w:rsidP="0098032B">
      <w:pPr>
        <w:rPr>
          <w:lang w:val="en-GB"/>
        </w:rPr>
      </w:pPr>
      <w:r w:rsidRPr="0098032B">
        <w:rPr>
          <w:lang w:val="en-GB"/>
        </w:rPr>
        <w:t>1.3. The Parties may agree to make certain provisions of the AI Guidelines mandatory in their arbitration agreement or - upon proposal by either party or at the initiative of the arbitral tribunal - authorize the arbitral tribunal to issue procedural orders on matters within the scope of the Rules of Proceedings.</w:t>
      </w:r>
    </w:p>
    <w:p w14:paraId="7CDCB99B" w14:textId="77777777" w:rsidR="0098032B" w:rsidRPr="0098032B" w:rsidRDefault="0098032B" w:rsidP="0098032B">
      <w:pPr>
        <w:rPr>
          <w:lang w:val="en-GB"/>
        </w:rPr>
      </w:pPr>
      <w:r w:rsidRPr="0098032B">
        <w:rPr>
          <w:i/>
          <w:iCs/>
          <w:lang w:val="en-GB"/>
        </w:rPr>
        <w:t>Commentary: Article 1.1 establishes comprehensive personal scope for all participants in arbitration proceedings. The provision establishes the abstract personal scope of the Guidelines, which is not inconsistent with the fact that its provisions are not binding by default.</w:t>
      </w:r>
    </w:p>
    <w:p w14:paraId="3AC95B35" w14:textId="77777777" w:rsidR="0098032B" w:rsidRPr="0098032B" w:rsidRDefault="0098032B" w:rsidP="0098032B">
      <w:pPr>
        <w:rPr>
          <w:lang w:val="en-GB"/>
        </w:rPr>
      </w:pPr>
      <w:r w:rsidRPr="0098032B">
        <w:rPr>
          <w:i/>
          <w:iCs/>
          <w:lang w:val="en-GB"/>
        </w:rPr>
        <w:t xml:space="preserve">Witnesses and experts, while not direct parties to the arbitration agreement, may use AI tools in preparing their testimony or expert opinions, which poses potential risks to the proceedings. The phrase "all reasonable efforts" in relation to witnesses and experts expresses that these actors </w:t>
      </w:r>
      <w:r w:rsidRPr="0098032B">
        <w:rPr>
          <w:i/>
          <w:iCs/>
          <w:lang w:val="en-GB"/>
        </w:rPr>
        <w:lastRenderedPageBreak/>
        <w:t>are not under the control of the Parties but are generally subject to their influence. Fulfilling this obligation requires Parties to take reasonable steps in this regard - for example, informing witnesses and experts about the Guidelines, incorporating AI-related provisions into expert engagement contracts, and providing appropriate training or guidance.</w:t>
      </w:r>
    </w:p>
    <w:p w14:paraId="59BCC94F" w14:textId="77777777" w:rsidR="0098032B" w:rsidRPr="0098032B" w:rsidRDefault="0098032B" w:rsidP="0098032B">
      <w:pPr>
        <w:rPr>
          <w:lang w:val="en-GB"/>
        </w:rPr>
      </w:pPr>
      <w:r w:rsidRPr="0098032B">
        <w:rPr>
          <w:i/>
          <w:iCs/>
          <w:lang w:val="en-GB"/>
        </w:rPr>
        <w:t>The non-binding nature of the Guidelines reflects the principle of party autonomy in arbitration. Unlike mandatory regulations, these Guidelines function as practical recommendations that can be adapted to the needs of individual cases. This approach respects the diversity of arbitration practice while providing a unified framework for regulating AI use.</w:t>
      </w:r>
    </w:p>
    <w:p w14:paraId="3A83B95C" w14:textId="77777777" w:rsidR="0098032B" w:rsidRPr="0098032B" w:rsidRDefault="0098032B" w:rsidP="0098032B">
      <w:pPr>
        <w:rPr>
          <w:lang w:val="en-GB"/>
        </w:rPr>
      </w:pPr>
      <w:r w:rsidRPr="0098032B">
        <w:rPr>
          <w:i/>
          <w:iCs/>
          <w:lang w:val="en-GB"/>
        </w:rPr>
        <w:t>Article 1.2 determines the normative character of the Guidelines.</w:t>
      </w:r>
    </w:p>
    <w:p w14:paraId="6A6ADA35" w14:textId="77777777" w:rsidR="0098032B" w:rsidRPr="0098032B" w:rsidRDefault="0098032B" w:rsidP="0098032B">
      <w:pPr>
        <w:rPr>
          <w:lang w:val="en-GB"/>
        </w:rPr>
      </w:pPr>
      <w:r w:rsidRPr="0098032B">
        <w:rPr>
          <w:i/>
          <w:iCs/>
          <w:lang w:val="en-GB"/>
        </w:rPr>
        <w:t>Article 1.3 ensures that Parties can make the Guidelines or certain provisions thereof mandatory, thus Parties may through their agreement prescribe the mandatory application of these Guidelines or certain provisions thereof, and either party or the arbitral tribunal itself may propose that the arbitral tribunal decide on matters falling within the scope of the Guidelines through procedural orders.</w:t>
      </w:r>
    </w:p>
    <w:p w14:paraId="204210A7" w14:textId="77777777" w:rsidR="0098032B" w:rsidRPr="0098032B" w:rsidRDefault="0098032B" w:rsidP="0098032B">
      <w:pPr>
        <w:rPr>
          <w:b/>
          <w:bCs/>
          <w:lang w:val="en-GB"/>
        </w:rPr>
      </w:pPr>
      <w:r w:rsidRPr="0098032B">
        <w:rPr>
          <w:b/>
          <w:bCs/>
          <w:lang w:val="en-GB"/>
        </w:rPr>
        <w:t>ARTICLE 2: DEFINITIONS</w:t>
      </w:r>
    </w:p>
    <w:p w14:paraId="218591A4" w14:textId="77777777" w:rsidR="0098032B" w:rsidRPr="0098032B" w:rsidRDefault="0098032B" w:rsidP="0098032B">
      <w:pPr>
        <w:rPr>
          <w:lang w:val="en-GB"/>
        </w:rPr>
      </w:pPr>
      <w:r w:rsidRPr="0098032B">
        <w:rPr>
          <w:lang w:val="en-GB"/>
        </w:rPr>
        <w:t>2.1. For the purposes of these Guidelines, "AI" means computer systems that perform functions typically associated with human thinking/cognition, with certain autonomy including natural language processing, pattern recognition and text or image content generation. These Guidelines shall be interpreted in accordance with statutory provisions on AI applicable during the proceedings.</w:t>
      </w:r>
    </w:p>
    <w:p w14:paraId="1C30F22F" w14:textId="77777777" w:rsidR="0098032B" w:rsidRPr="0098032B" w:rsidRDefault="0098032B" w:rsidP="0098032B">
      <w:pPr>
        <w:rPr>
          <w:lang w:val="en-GB"/>
        </w:rPr>
      </w:pPr>
      <w:r w:rsidRPr="0098032B">
        <w:rPr>
          <w:lang w:val="en-GB"/>
        </w:rPr>
        <w:t>2.2. These Guidelines do not apply to routine automated tools and established technologies which, while they may contain simpler AI components, are commonly used in legal work without posing significant risks during arbitration proceedings.</w:t>
      </w:r>
    </w:p>
    <w:p w14:paraId="1CC7B1FE" w14:textId="77777777" w:rsidR="0098032B" w:rsidRPr="0098032B" w:rsidRDefault="0098032B" w:rsidP="0098032B">
      <w:pPr>
        <w:rPr>
          <w:lang w:val="en-GB"/>
        </w:rPr>
      </w:pPr>
      <w:r w:rsidRPr="0098032B">
        <w:rPr>
          <w:lang w:val="en-GB"/>
        </w:rPr>
        <w:t>2.3. All participants using AI tools other than those defined in Article 2.2 shall make reasonable efforts to understand the operation, limitations and potential risks of the tool, including bias, data security vulnerabilities and the possibility of generating inaccurate or false information ("hallucinations").</w:t>
      </w:r>
    </w:p>
    <w:p w14:paraId="34042A9A" w14:textId="77777777" w:rsidR="0098032B" w:rsidRPr="0098032B" w:rsidRDefault="0098032B" w:rsidP="0098032B">
      <w:pPr>
        <w:rPr>
          <w:lang w:val="en-GB"/>
        </w:rPr>
      </w:pPr>
      <w:r w:rsidRPr="0098032B">
        <w:rPr>
          <w:lang w:val="en-GB"/>
        </w:rPr>
        <w:t>2.4. In case of doubt as to whether a particular tool falls within the scope of these AI Guidelines, participants should, as a precaution, apply the principles of the Guidelines.</w:t>
      </w:r>
    </w:p>
    <w:p w14:paraId="1EE31ACF" w14:textId="77777777" w:rsidR="0098032B" w:rsidRPr="0098032B" w:rsidRDefault="0098032B" w:rsidP="0098032B">
      <w:pPr>
        <w:rPr>
          <w:lang w:val="en-GB"/>
        </w:rPr>
      </w:pPr>
      <w:r w:rsidRPr="0098032B">
        <w:rPr>
          <w:i/>
          <w:iCs/>
          <w:lang w:val="en-GB"/>
        </w:rPr>
        <w:t>Commentary: The definition in Article 2.1 adopts a functional approach to AI and emphasizes the cognitive capabilities of systems. The broad definition ensures that the Guidelines remain applicable as AI technology evolves, encompassing both current generative AI systems and similar future developments. The emphasis on "human thinking, cognition" distinguishes AI from simple automation or rule-based systems. The definition also refers to applicable statutory definitions (e.g., EU AI Act or other applicable local legislation) and ensures that the definition in the Guidelines is interpreted accordingly.</w:t>
      </w:r>
    </w:p>
    <w:p w14:paraId="098827E8" w14:textId="77777777" w:rsidR="0098032B" w:rsidRPr="0098032B" w:rsidRDefault="0098032B" w:rsidP="0098032B">
      <w:pPr>
        <w:rPr>
          <w:lang w:val="en-GB"/>
        </w:rPr>
      </w:pPr>
      <w:r w:rsidRPr="0098032B">
        <w:rPr>
          <w:i/>
          <w:iCs/>
          <w:lang w:val="en-GB"/>
        </w:rPr>
        <w:t>Article 2.2 serves a practical function by excluding routine technologies from the scope of the Guidelines. Many tools used daily in legal practice contain some form of automated intelligence or machine learning algorithms, but these have been integrated into legal workflows without affecting the specific risks addressed by these Guidelines. These may include, for example:</w:t>
      </w:r>
      <w:r w:rsidRPr="0098032B">
        <w:rPr>
          <w:lang w:val="en-GB"/>
        </w:rPr>
        <w:br/>
      </w:r>
      <w:r w:rsidRPr="0098032B">
        <w:rPr>
          <w:i/>
          <w:iCs/>
          <w:lang w:val="en-GB"/>
        </w:rPr>
        <w:t>(a) General spell-checking and grammar software;</w:t>
      </w:r>
      <w:r w:rsidRPr="0098032B">
        <w:rPr>
          <w:lang w:val="en-GB"/>
        </w:rPr>
        <w:br/>
      </w:r>
      <w:r w:rsidRPr="0098032B">
        <w:rPr>
          <w:i/>
          <w:iCs/>
          <w:lang w:val="en-GB"/>
        </w:rPr>
        <w:t>(b) Optical character recognition (OCR);</w:t>
      </w:r>
      <w:r w:rsidRPr="0098032B">
        <w:rPr>
          <w:lang w:val="en-GB"/>
        </w:rPr>
        <w:br/>
      </w:r>
      <w:r w:rsidRPr="0098032B">
        <w:rPr>
          <w:i/>
          <w:iCs/>
          <w:lang w:val="en-GB"/>
        </w:rPr>
        <w:lastRenderedPageBreak/>
        <w:t>(c) Simple machine translation services;</w:t>
      </w:r>
      <w:r w:rsidRPr="0098032B">
        <w:rPr>
          <w:lang w:val="en-GB"/>
        </w:rPr>
        <w:br/>
      </w:r>
      <w:r w:rsidRPr="0098032B">
        <w:rPr>
          <w:i/>
          <w:iCs/>
          <w:lang w:val="en-GB"/>
        </w:rPr>
        <w:t>(d) Email spam filters and security software;</w:t>
      </w:r>
      <w:r w:rsidRPr="0098032B">
        <w:rPr>
          <w:lang w:val="en-GB"/>
        </w:rPr>
        <w:br/>
      </w:r>
      <w:r w:rsidRPr="0098032B">
        <w:rPr>
          <w:i/>
          <w:iCs/>
          <w:lang w:val="en-GB"/>
        </w:rPr>
        <w:t>(e) Traditional search engines and legal databases with keyword-based search functions;</w:t>
      </w:r>
      <w:r w:rsidRPr="0098032B">
        <w:rPr>
          <w:lang w:val="en-GB"/>
        </w:rPr>
        <w:br/>
      </w:r>
      <w:r w:rsidRPr="0098032B">
        <w:rPr>
          <w:i/>
          <w:iCs/>
          <w:lang w:val="en-GB"/>
        </w:rPr>
        <w:t>(f) Traditional document management and e-discovery platforms with automated sorting and classification functions;</w:t>
      </w:r>
      <w:r w:rsidRPr="0098032B">
        <w:rPr>
          <w:lang w:val="en-GB"/>
        </w:rPr>
        <w:br/>
      </w:r>
      <w:r w:rsidRPr="0098032B">
        <w:rPr>
          <w:i/>
          <w:iCs/>
          <w:lang w:val="en-GB"/>
        </w:rPr>
        <w:t>(g) Transcription software;</w:t>
      </w:r>
      <w:r w:rsidRPr="0098032B">
        <w:rPr>
          <w:lang w:val="en-GB"/>
        </w:rPr>
        <w:br/>
      </w:r>
      <w:r w:rsidRPr="0098032B">
        <w:rPr>
          <w:i/>
          <w:iCs/>
          <w:lang w:val="en-GB"/>
        </w:rPr>
        <w:t>(h) Automated case management systems.</w:t>
      </w:r>
    </w:p>
    <w:p w14:paraId="476FA54E" w14:textId="77777777" w:rsidR="0098032B" w:rsidRPr="0098032B" w:rsidRDefault="0098032B" w:rsidP="0098032B">
      <w:pPr>
        <w:rPr>
          <w:lang w:val="en-GB"/>
        </w:rPr>
      </w:pPr>
      <w:r w:rsidRPr="0098032B">
        <w:rPr>
          <w:i/>
          <w:iCs/>
          <w:lang w:val="en-GB"/>
        </w:rPr>
        <w:t>For example, spell-checking software may use statistical models to suggest corrections, and OCR systems may use pattern recognition to convert images to text, but these applications are deterministic, transparent, and pose minimal confidentiality or error risks. Similarly, basic e-discovery platforms use machine learning for document classification but generally operate according to defined parameters and produce verifiable results.</w:t>
      </w:r>
    </w:p>
    <w:p w14:paraId="212579C1" w14:textId="77777777" w:rsidR="0098032B" w:rsidRPr="0098032B" w:rsidRDefault="0098032B" w:rsidP="0098032B">
      <w:pPr>
        <w:rPr>
          <w:lang w:val="en-GB"/>
        </w:rPr>
      </w:pPr>
      <w:r w:rsidRPr="0098032B">
        <w:rPr>
          <w:i/>
          <w:iCs/>
          <w:lang w:val="en-GB"/>
        </w:rPr>
        <w:t>The essential distinction is between tools that enhance human capabilities in predictable ways and those that can generate new content or make autonomous decisions that could significantly affect case outcomes. Traditional legal database searches, even those using advanced algorithms, typically return existing documents or legal sources, while modern generative AI can create entirely new content that may appear authentic but contain inaccuracies.</w:t>
      </w:r>
    </w:p>
    <w:p w14:paraId="35BCA17A" w14:textId="77777777" w:rsidR="0098032B" w:rsidRPr="0098032B" w:rsidRDefault="0098032B" w:rsidP="0098032B">
      <w:pPr>
        <w:rPr>
          <w:lang w:val="en-GB"/>
        </w:rPr>
      </w:pPr>
      <w:r w:rsidRPr="0098032B">
        <w:rPr>
          <w:i/>
          <w:iCs/>
          <w:lang w:val="en-GB"/>
        </w:rPr>
        <w:t xml:space="preserve">Article 2.3 prescribes an obligation to have a minimum understanding of the operation of AI tools falling within the scope of the Guidelines. The obligation to make "reasonable efforts" recognizes that full technical understanding of complex AI systems may exceed the capabilities of most users, but requires the acquisition of basic knowledge, e.g., understanding fundamental limitations such as temporal and other boundaries resulting from the training of the </w:t>
      </w:r>
      <w:proofErr w:type="gramStart"/>
      <w:r w:rsidRPr="0098032B">
        <w:rPr>
          <w:i/>
          <w:iCs/>
          <w:lang w:val="en-GB"/>
        </w:rPr>
        <w:t>particular system</w:t>
      </w:r>
      <w:proofErr w:type="gramEnd"/>
      <w:r w:rsidRPr="0098032B">
        <w:rPr>
          <w:i/>
          <w:iCs/>
          <w:lang w:val="en-GB"/>
        </w:rPr>
        <w:t>, bias, etc.</w:t>
      </w:r>
    </w:p>
    <w:p w14:paraId="208BA049" w14:textId="77777777" w:rsidR="0098032B" w:rsidRPr="0098032B" w:rsidRDefault="0098032B" w:rsidP="0098032B">
      <w:pPr>
        <w:rPr>
          <w:lang w:val="en-GB"/>
        </w:rPr>
      </w:pPr>
      <w:r w:rsidRPr="0098032B">
        <w:rPr>
          <w:i/>
          <w:iCs/>
          <w:lang w:val="en-GB"/>
        </w:rPr>
        <w:t>"Hallucination" - when AI systems generate plausible-seeming but incorrect information - is particularly critical in legal contexts - as examples from practice have shown. False information generated by AI can be very convincing, including fabricated judgments, non-existent legal sources or distortion of facts. Bias refers to systematic prejudices that may be embedded in data used for AI training and can distort output results or analysis in ways that adversely affect the procedural position of certain Parties or viewpoints.</w:t>
      </w:r>
    </w:p>
    <w:p w14:paraId="2790D7A1" w14:textId="77777777" w:rsidR="0098032B" w:rsidRPr="0098032B" w:rsidRDefault="0098032B" w:rsidP="0098032B">
      <w:pPr>
        <w:rPr>
          <w:lang w:val="en-GB"/>
        </w:rPr>
      </w:pPr>
      <w:r w:rsidRPr="0098032B">
        <w:rPr>
          <w:i/>
          <w:iCs/>
          <w:lang w:val="en-GB"/>
        </w:rPr>
        <w:t>The "precautionary" provision in Article 2.4 ensures that the guidelines can be applied when truly risky AI is used. This approach balances practical efficiency with appropriate risk management, allowing arbitration to benefit from established technologies while prudently approaching emerging AI capabilities.</w:t>
      </w:r>
    </w:p>
    <w:p w14:paraId="7AACFD6C" w14:textId="77777777" w:rsidR="0098032B" w:rsidRPr="0098032B" w:rsidRDefault="0098032B" w:rsidP="0098032B">
      <w:pPr>
        <w:rPr>
          <w:b/>
          <w:bCs/>
          <w:lang w:val="en-GB"/>
        </w:rPr>
      </w:pPr>
      <w:r w:rsidRPr="0098032B">
        <w:rPr>
          <w:b/>
          <w:bCs/>
          <w:lang w:val="en-GB"/>
        </w:rPr>
        <w:t>ARTICLE 3: CONFIDENTIALITY AND DATA SECURITY</w:t>
      </w:r>
    </w:p>
    <w:p w14:paraId="59831271" w14:textId="77777777" w:rsidR="0098032B" w:rsidRPr="0098032B" w:rsidRDefault="0098032B" w:rsidP="0098032B">
      <w:pPr>
        <w:rPr>
          <w:lang w:val="en-GB"/>
        </w:rPr>
      </w:pPr>
      <w:r w:rsidRPr="0098032B">
        <w:rPr>
          <w:lang w:val="en-GB"/>
        </w:rPr>
        <w:t>3.1. Participants in the proceedings shall ensure that AI tools comply with the confidential nature of arbitration proceedings and with applicable data protection laws and other requirements.</w:t>
      </w:r>
    </w:p>
    <w:p w14:paraId="14675CC9" w14:textId="77777777" w:rsidR="0098032B" w:rsidRPr="0098032B" w:rsidRDefault="0098032B" w:rsidP="0098032B">
      <w:pPr>
        <w:rPr>
          <w:lang w:val="en-GB"/>
        </w:rPr>
      </w:pPr>
      <w:r w:rsidRPr="0098032B">
        <w:rPr>
          <w:lang w:val="en-GB"/>
        </w:rPr>
        <w:t>3.2. Before inputting confidential data into AI systems, participants shall verify the tool's data retention, storage and sharing policies.</w:t>
      </w:r>
    </w:p>
    <w:p w14:paraId="5C5F356D" w14:textId="77777777" w:rsidR="0098032B" w:rsidRPr="0098032B" w:rsidRDefault="0098032B" w:rsidP="0098032B">
      <w:pPr>
        <w:rPr>
          <w:lang w:val="en-GB"/>
        </w:rPr>
      </w:pPr>
      <w:r w:rsidRPr="0098032B">
        <w:rPr>
          <w:lang w:val="en-GB"/>
        </w:rPr>
        <w:t>3.3. Where possible, participants should use closed/exclusively used AI solutions with enhanced data protection requirements instead of publicly available tools when handling or processing confidential materials.</w:t>
      </w:r>
    </w:p>
    <w:p w14:paraId="4B918F75" w14:textId="77777777" w:rsidR="0098032B" w:rsidRPr="0098032B" w:rsidRDefault="0098032B" w:rsidP="0098032B">
      <w:pPr>
        <w:rPr>
          <w:lang w:val="en-GB"/>
        </w:rPr>
      </w:pPr>
      <w:r w:rsidRPr="0098032B">
        <w:rPr>
          <w:lang w:val="en-GB"/>
        </w:rPr>
        <w:lastRenderedPageBreak/>
        <w:t>3.4. Confidential information shall be redacted or anonymized before being processed or handled with AI tools.</w:t>
      </w:r>
    </w:p>
    <w:p w14:paraId="2A3954D2" w14:textId="77777777" w:rsidR="0098032B" w:rsidRPr="0098032B" w:rsidRDefault="0098032B" w:rsidP="0098032B">
      <w:pPr>
        <w:rPr>
          <w:lang w:val="en-GB"/>
        </w:rPr>
      </w:pPr>
      <w:r w:rsidRPr="0098032B">
        <w:rPr>
          <w:i/>
          <w:iCs/>
          <w:lang w:val="en-GB"/>
        </w:rPr>
        <w:t>Commentary: Confidentiality is one of the most fundamental principles and primary advantages of arbitration over state court proceedings. Article 3 addresses the risks posed by AI tools in this area. Many publicly available AI systems retain user data for further training or fine-tuning purposes, potentially exposing confidential arbitration materials to unauthorized access or use. In the case of personal data, such data transfers must also comply with data protection legislation, and for completeness the Guidelines also "remind" of this.</w:t>
      </w:r>
    </w:p>
    <w:p w14:paraId="7477C38B" w14:textId="77777777" w:rsidR="0098032B" w:rsidRPr="0098032B" w:rsidRDefault="0098032B" w:rsidP="0098032B">
      <w:pPr>
        <w:rPr>
          <w:lang w:val="en-GB"/>
        </w:rPr>
      </w:pPr>
      <w:r w:rsidRPr="0098032B">
        <w:rPr>
          <w:i/>
          <w:iCs/>
          <w:lang w:val="en-GB"/>
        </w:rPr>
        <w:t>The verification requirement in Article 3.2 addresses the situation that AI providers' terms of use and privacy policies can be complex, frequently change, and may not adequately protect confidential information. Participants need to be aware of whether their uploaded/handled data will be stored, how long it will be retained, whether it will be used for training purposes, and what security measures protect the data. Some AI providers explicitly claim full rights to user-uploaded data, which would be fundamentally incompatible with arbitration confidentiality.</w:t>
      </w:r>
    </w:p>
    <w:p w14:paraId="3195A1BC" w14:textId="77777777" w:rsidR="0098032B" w:rsidRPr="0098032B" w:rsidRDefault="0098032B" w:rsidP="0098032B">
      <w:pPr>
        <w:rPr>
          <w:lang w:val="en-GB"/>
        </w:rPr>
      </w:pPr>
      <w:r w:rsidRPr="0098032B">
        <w:rPr>
          <w:i/>
          <w:iCs/>
          <w:lang w:val="en-GB"/>
        </w:rPr>
        <w:t>The preference for closed AI solutions providing exclusive access to users (own server or cloud) in Article 3.3 recognizes that enterprise-level, closed systems may provide better data security and privacy solutions than publicly available versions (especially those freely accessible). These solutions typically offer features that provide significant advantages considering arbitration requirements. However, even enterprise solutions require careful evaluation.</w:t>
      </w:r>
    </w:p>
    <w:p w14:paraId="546A750C" w14:textId="77777777" w:rsidR="0098032B" w:rsidRPr="0098032B" w:rsidRDefault="0098032B" w:rsidP="0098032B">
      <w:pPr>
        <w:rPr>
          <w:lang w:val="en-GB"/>
        </w:rPr>
      </w:pPr>
      <w:r w:rsidRPr="0098032B">
        <w:rPr>
          <w:i/>
          <w:iCs/>
          <w:lang w:val="en-GB"/>
        </w:rPr>
        <w:t>The anonymization and redaction requirement in Article 3.4 aims to practically reduce risks. While not always feasible, removing or redacting identifying information, personal data, financial details and other sensitive data can significantly reduce confidentiality risks. This approach allows participants to benefit from AI applications while respecting fundamental data protection and confidentiality requirements. However, users should recognize that sophisticated AI systems can sometimes infer sensitive information even from redacted materials.</w:t>
      </w:r>
    </w:p>
    <w:p w14:paraId="13193FB4" w14:textId="77777777" w:rsidR="0098032B" w:rsidRPr="0098032B" w:rsidRDefault="0098032B" w:rsidP="0098032B">
      <w:pPr>
        <w:rPr>
          <w:lang w:val="en-GB"/>
        </w:rPr>
      </w:pPr>
      <w:r w:rsidRPr="0098032B">
        <w:rPr>
          <w:i/>
          <w:iCs/>
          <w:lang w:val="en-GB"/>
        </w:rPr>
        <w:t>These provisions also implicitly address cross-border data transfer issues, which are increasingly important with the global spread of data protection regulations. Participants should consider whether their AI use complies with applicable data protection laws such as GDPR, especially when arbitration involves parties subject to different jurisdictions.</w:t>
      </w:r>
    </w:p>
    <w:p w14:paraId="4AAD96E9" w14:textId="77777777" w:rsidR="0098032B" w:rsidRPr="0098032B" w:rsidRDefault="0098032B" w:rsidP="0098032B">
      <w:pPr>
        <w:rPr>
          <w:b/>
          <w:bCs/>
          <w:lang w:val="en-GB"/>
        </w:rPr>
      </w:pPr>
      <w:r w:rsidRPr="0098032B">
        <w:rPr>
          <w:b/>
          <w:bCs/>
          <w:lang w:val="en-GB"/>
        </w:rPr>
        <w:t>ARTICLE 4: DISCLOSURE OBLIGATION AND TRANSPARENCY</w:t>
      </w:r>
    </w:p>
    <w:p w14:paraId="00833D2B" w14:textId="77777777" w:rsidR="0098032B" w:rsidRPr="0098032B" w:rsidRDefault="0098032B" w:rsidP="0098032B">
      <w:pPr>
        <w:rPr>
          <w:lang w:val="en-GB"/>
        </w:rPr>
      </w:pPr>
      <w:r w:rsidRPr="0098032B">
        <w:rPr>
          <w:lang w:val="en-GB"/>
        </w:rPr>
        <w:t xml:space="preserve">4.1. Disclosure of AI use is not mandatory </w:t>
      </w:r>
      <w:proofErr w:type="gramStart"/>
      <w:r w:rsidRPr="0098032B">
        <w:rPr>
          <w:lang w:val="en-GB"/>
        </w:rPr>
        <w:t>as a general rule</w:t>
      </w:r>
      <w:proofErr w:type="gramEnd"/>
      <w:r w:rsidRPr="0098032B">
        <w:rPr>
          <w:lang w:val="en-GB"/>
        </w:rPr>
        <w:t>. Nevertheless, disclosure of AI use is primarily required when the application may influence the determination of the case or any significant issue thereof - whether in establishing facts or resolving legal questions.</w:t>
      </w:r>
    </w:p>
    <w:p w14:paraId="45CE49E7" w14:textId="77777777" w:rsidR="0098032B" w:rsidRPr="0098032B" w:rsidRDefault="0098032B" w:rsidP="0098032B">
      <w:pPr>
        <w:rPr>
          <w:lang w:val="en-GB"/>
        </w:rPr>
      </w:pPr>
      <w:r w:rsidRPr="0098032B">
        <w:rPr>
          <w:lang w:val="en-GB"/>
        </w:rPr>
        <w:t xml:space="preserve">4.2. Generally, it is advisable for members of the arbitral tribunal to inform the Parties if they intend to use AI tools, </w:t>
      </w:r>
      <w:proofErr w:type="gramStart"/>
      <w:r w:rsidRPr="0098032B">
        <w:rPr>
          <w:lang w:val="en-GB"/>
        </w:rPr>
        <w:t>in order to</w:t>
      </w:r>
      <w:proofErr w:type="gramEnd"/>
      <w:r w:rsidRPr="0098032B">
        <w:rPr>
          <w:lang w:val="en-GB"/>
        </w:rPr>
        <w:t xml:space="preserve"> allow the Parties to comment on this matter.</w:t>
      </w:r>
    </w:p>
    <w:p w14:paraId="15F5EE00" w14:textId="77777777" w:rsidR="0098032B" w:rsidRPr="0098032B" w:rsidRDefault="0098032B" w:rsidP="0098032B">
      <w:pPr>
        <w:rPr>
          <w:lang w:val="en-GB"/>
        </w:rPr>
      </w:pPr>
      <w:r w:rsidRPr="0098032B">
        <w:rPr>
          <w:lang w:val="en-GB"/>
        </w:rPr>
        <w:t>4.3. When disclosing, it is recommended to provide the following information: (a) the AI tool used, (b) its purpose of use, and (c) measures taken to verify the accuracy of AI-generated outputs.</w:t>
      </w:r>
    </w:p>
    <w:p w14:paraId="16B83518" w14:textId="77777777" w:rsidR="0098032B" w:rsidRPr="0098032B" w:rsidRDefault="0098032B" w:rsidP="0098032B">
      <w:pPr>
        <w:rPr>
          <w:lang w:val="en-GB"/>
        </w:rPr>
      </w:pPr>
      <w:r w:rsidRPr="0098032B">
        <w:rPr>
          <w:i/>
          <w:iCs/>
          <w:lang w:val="en-GB"/>
        </w:rPr>
        <w:t xml:space="preserve">Commentary: Article 4 balances the requirements of transparency and regulatory flexibility. A general disclosure requirement would create unnecessary burden without real benefit, especially considering that AI components are increasingly integrated into everyday software. </w:t>
      </w:r>
      <w:r w:rsidRPr="0098032B">
        <w:rPr>
          <w:i/>
          <w:iCs/>
          <w:lang w:val="en-GB"/>
        </w:rPr>
        <w:lastRenderedPageBreak/>
        <w:t>However, disclosure becomes important when AI use could materially affect the proceedings or when transparency is necessary to maintain trust in the arbitration process.</w:t>
      </w:r>
    </w:p>
    <w:p w14:paraId="33D98AF3" w14:textId="77777777" w:rsidR="0098032B" w:rsidRPr="0098032B" w:rsidRDefault="0098032B" w:rsidP="0098032B">
      <w:pPr>
        <w:rPr>
          <w:lang w:val="en-GB"/>
        </w:rPr>
      </w:pPr>
      <w:r w:rsidRPr="0098032B">
        <w:rPr>
          <w:i/>
          <w:iCs/>
          <w:lang w:val="en-GB"/>
        </w:rPr>
        <w:t xml:space="preserve">The "significantly influences" requirement in Article 4.1 requires consideration of when AI transitions from a tool to a factor affecting the merits of the case. Permitted use may include </w:t>
      </w:r>
      <w:proofErr w:type="spellStart"/>
      <w:r w:rsidRPr="0098032B">
        <w:rPr>
          <w:i/>
          <w:iCs/>
          <w:lang w:val="en-GB"/>
        </w:rPr>
        <w:t>analyzing</w:t>
      </w:r>
      <w:proofErr w:type="spellEnd"/>
      <w:r w:rsidRPr="0098032B">
        <w:rPr>
          <w:i/>
          <w:iCs/>
          <w:lang w:val="en-GB"/>
        </w:rPr>
        <w:t xml:space="preserve"> large document sets, legal research, or interpreting complex factual patterns. The standard is intentionally flexible to accommodate different types of AI use and cases of varying complexity.</w:t>
      </w:r>
    </w:p>
    <w:p w14:paraId="3BB44CB7" w14:textId="77777777" w:rsidR="0098032B" w:rsidRPr="0098032B" w:rsidRDefault="0098032B" w:rsidP="0098032B">
      <w:pPr>
        <w:rPr>
          <w:lang w:val="en-GB"/>
        </w:rPr>
      </w:pPr>
      <w:r w:rsidRPr="0098032B">
        <w:rPr>
          <w:i/>
          <w:iCs/>
          <w:lang w:val="en-GB"/>
        </w:rPr>
        <w:t xml:space="preserve">Article 4.2 proceeds from the arbitrators' special position and </w:t>
      </w:r>
      <w:proofErr w:type="gramStart"/>
      <w:r w:rsidRPr="0098032B">
        <w:rPr>
          <w:i/>
          <w:iCs/>
          <w:lang w:val="en-GB"/>
        </w:rPr>
        <w:t>takes into account</w:t>
      </w:r>
      <w:proofErr w:type="gramEnd"/>
      <w:r w:rsidRPr="0098032B">
        <w:rPr>
          <w:i/>
          <w:iCs/>
          <w:lang w:val="en-GB"/>
        </w:rPr>
        <w:t xml:space="preserve"> heightened transparency expectations regarding the judicial decision-making process. Unlike Parties and representatives, arbitrators must act impartially and maintain the Parties' trust. Disclosure of arbitrators' AI use serves multiple purposes: maintaining transparency, allowing Parties to raise concerns, and helping ensure that AI use does not compromise the arbitration proceedings.</w:t>
      </w:r>
    </w:p>
    <w:p w14:paraId="0EEFEA6A" w14:textId="77777777" w:rsidR="0098032B" w:rsidRPr="0098032B" w:rsidRDefault="0098032B" w:rsidP="0098032B">
      <w:pPr>
        <w:rPr>
          <w:lang w:val="en-GB"/>
        </w:rPr>
      </w:pPr>
      <w:r w:rsidRPr="0098032B">
        <w:rPr>
          <w:i/>
          <w:iCs/>
          <w:lang w:val="en-GB"/>
        </w:rPr>
        <w:t>The obligation for arbitrators to make disclosure in advance ("intend to use") allows Parties to make meaningful comments before AI tools are applied. Timing is important because post-facto disclosure may not provide adequate opportunity for Parties to address concerns or propose alternative solutions.</w:t>
      </w:r>
    </w:p>
    <w:p w14:paraId="2500A77F" w14:textId="77777777" w:rsidR="0098032B" w:rsidRPr="0098032B" w:rsidRDefault="0098032B" w:rsidP="0098032B">
      <w:pPr>
        <w:rPr>
          <w:lang w:val="en-GB"/>
        </w:rPr>
      </w:pPr>
      <w:r w:rsidRPr="0098032B">
        <w:rPr>
          <w:i/>
          <w:iCs/>
          <w:lang w:val="en-GB"/>
        </w:rPr>
        <w:t>Article 4.3 prescribes content requirements for disclosure. Identifying the specific AI tool allows Parties to understand its functions and limitations. Describing the purpose of use helps Parties assess whether the intended application is appropriate. Information about verification measures shows that the user has considered accuracy concerns and taken steps to address them.</w:t>
      </w:r>
    </w:p>
    <w:p w14:paraId="25267573" w14:textId="77777777" w:rsidR="0098032B" w:rsidRPr="0098032B" w:rsidRDefault="0098032B" w:rsidP="0098032B">
      <w:pPr>
        <w:rPr>
          <w:b/>
          <w:bCs/>
          <w:lang w:val="en-GB"/>
        </w:rPr>
      </w:pPr>
      <w:r w:rsidRPr="0098032B">
        <w:rPr>
          <w:b/>
          <w:bCs/>
          <w:lang w:val="en-GB"/>
        </w:rPr>
        <w:t>ARTICLE 5: LIABILITY</w:t>
      </w:r>
    </w:p>
    <w:p w14:paraId="4F748D1A" w14:textId="77777777" w:rsidR="0098032B" w:rsidRPr="0098032B" w:rsidRDefault="0098032B" w:rsidP="0098032B">
      <w:pPr>
        <w:rPr>
          <w:lang w:val="en-GB"/>
        </w:rPr>
      </w:pPr>
      <w:r w:rsidRPr="0098032B">
        <w:rPr>
          <w:lang w:val="en-GB"/>
        </w:rPr>
        <w:t>5.1. Participants in the proceedings are fully responsible for the accuracy and reliability of content generated by AI used in arbitration proceedings.</w:t>
      </w:r>
    </w:p>
    <w:p w14:paraId="4555ED7F" w14:textId="77777777" w:rsidR="0098032B" w:rsidRPr="0098032B" w:rsidRDefault="0098032B" w:rsidP="0098032B">
      <w:pPr>
        <w:rPr>
          <w:lang w:val="en-GB"/>
        </w:rPr>
      </w:pPr>
      <w:r w:rsidRPr="0098032B">
        <w:rPr>
          <w:lang w:val="en-GB"/>
        </w:rPr>
        <w:t>5.2. The factual and legal accuracy of AI-generated content must be appropriately verified before being used in arbitration proceedings.</w:t>
      </w:r>
    </w:p>
    <w:p w14:paraId="0C84ECD1" w14:textId="77777777" w:rsidR="0098032B" w:rsidRPr="0098032B" w:rsidRDefault="0098032B" w:rsidP="0098032B">
      <w:pPr>
        <w:rPr>
          <w:lang w:val="en-GB"/>
        </w:rPr>
      </w:pPr>
      <w:r w:rsidRPr="0098032B">
        <w:rPr>
          <w:i/>
          <w:iCs/>
          <w:lang w:val="en-GB"/>
        </w:rPr>
        <w:t>Commentary: Article 5 addresses the fundamental challenge of AI reliability in legal contexts. The principle of continuing liability ensures that AI use does not create a liability gap. Participants cannot disclaim responsibility for errors by attributing them to AI tools, maintaining the professional standards required by arbitration.</w:t>
      </w:r>
    </w:p>
    <w:p w14:paraId="627DD2EF" w14:textId="77777777" w:rsidR="0098032B" w:rsidRPr="0098032B" w:rsidRDefault="0098032B" w:rsidP="0098032B">
      <w:pPr>
        <w:rPr>
          <w:lang w:val="en-GB"/>
        </w:rPr>
      </w:pPr>
      <w:r w:rsidRPr="0098032B">
        <w:rPr>
          <w:i/>
          <w:iCs/>
          <w:lang w:val="en-GB"/>
        </w:rPr>
        <w:t>The verification obligation in Article 5.2 serves as an additional filter for screening out inaccurate or false content generated by AI systems. The requirement for "independent" verification emphasizes that participants cannot rely on the AI system itself to confirm the accuracy of its own outputs. Verification requirements may vary depending on the type of content and its importance in the case. For routine drafting assistance, simple verification may suffice. For critical legal arguments or factual analysis, more rigorous verification is necessary.</w:t>
      </w:r>
    </w:p>
    <w:p w14:paraId="1011FFD5" w14:textId="77777777" w:rsidR="0098032B" w:rsidRPr="0098032B" w:rsidRDefault="0098032B" w:rsidP="0098032B">
      <w:pPr>
        <w:rPr>
          <w:b/>
          <w:bCs/>
          <w:lang w:val="en-GB"/>
        </w:rPr>
      </w:pPr>
      <w:r w:rsidRPr="0098032B">
        <w:rPr>
          <w:b/>
          <w:bCs/>
          <w:lang w:val="en-GB"/>
        </w:rPr>
        <w:t>ARTICLE 6: INTEGRITY OF PROCEEDINGS</w:t>
      </w:r>
    </w:p>
    <w:p w14:paraId="1D903C2A" w14:textId="77777777" w:rsidR="0098032B" w:rsidRPr="0098032B" w:rsidRDefault="0098032B" w:rsidP="0098032B">
      <w:pPr>
        <w:rPr>
          <w:lang w:val="en-GB"/>
        </w:rPr>
      </w:pPr>
      <w:r w:rsidRPr="0098032B">
        <w:rPr>
          <w:lang w:val="en-GB"/>
        </w:rPr>
        <w:t>6.1. AI tools shall not be used to create false evidence, manipulate authentic documents, or deceive the arbitral tribunal or other Party.</w:t>
      </w:r>
    </w:p>
    <w:p w14:paraId="4160CA0F" w14:textId="77777777" w:rsidR="0098032B" w:rsidRPr="0098032B" w:rsidRDefault="0098032B" w:rsidP="0098032B">
      <w:pPr>
        <w:rPr>
          <w:lang w:val="en-GB"/>
        </w:rPr>
      </w:pPr>
      <w:r w:rsidRPr="0098032B">
        <w:rPr>
          <w:lang w:val="en-GB"/>
        </w:rPr>
        <w:t>6.2. Participants shall take reasonable measures to detect evidence generated or manipulated by AI presented by others.</w:t>
      </w:r>
    </w:p>
    <w:p w14:paraId="39348122" w14:textId="77777777" w:rsidR="0098032B" w:rsidRPr="0098032B" w:rsidRDefault="0098032B" w:rsidP="0098032B">
      <w:pPr>
        <w:rPr>
          <w:lang w:val="en-GB"/>
        </w:rPr>
      </w:pPr>
      <w:r w:rsidRPr="0098032B">
        <w:rPr>
          <w:i/>
          <w:iCs/>
          <w:lang w:val="en-GB"/>
        </w:rPr>
        <w:lastRenderedPageBreak/>
        <w:t>Commentary: Article 6 addresses one of the most serious risks posed by advanced AI systems: their ability to create convincing but false content. As AI capabilities evolve, the likelihood of creating sophisticated forgeries, manipulated documents and fabricated evidence may increase. This article reinforces obligations arising from other legal rules and prescribes a proactive approach for all participants.</w:t>
      </w:r>
    </w:p>
    <w:p w14:paraId="2E4ACD78" w14:textId="77777777" w:rsidR="0098032B" w:rsidRPr="0098032B" w:rsidRDefault="0098032B" w:rsidP="0098032B">
      <w:pPr>
        <w:rPr>
          <w:lang w:val="en-GB"/>
        </w:rPr>
      </w:pPr>
      <w:r w:rsidRPr="0098032B">
        <w:rPr>
          <w:i/>
          <w:iCs/>
          <w:lang w:val="en-GB"/>
        </w:rPr>
        <w:t>The prohibition in Article 6.1 goes beyond traditional concepts of fraud, addressing AI-specific risks. While creating false evidence has always been prohibited, AI makes it easier, more sophisticated and harder to detect. This includes generating authentic-seeming false documents, creating deepfake audio or video recordings, and producing text that mimics genuine communication or expert analysis.</w:t>
      </w:r>
    </w:p>
    <w:p w14:paraId="06B93F73" w14:textId="77777777" w:rsidR="0098032B" w:rsidRPr="0098032B" w:rsidRDefault="0098032B" w:rsidP="0098032B">
      <w:pPr>
        <w:rPr>
          <w:lang w:val="en-GB"/>
        </w:rPr>
      </w:pPr>
      <w:r w:rsidRPr="0098032B">
        <w:rPr>
          <w:i/>
          <w:iCs/>
          <w:lang w:val="en-GB"/>
        </w:rPr>
        <w:t xml:space="preserve">Article 6.2 imposes an affirmative obligation on all participants and is based on the premise that prevention requires vigilance from all participants, not passive application of traditional authentication methods. This may include using AI detection tools, technical analysis of submitted materials, and thorough examination of suspicious evidence. The "reasonable measures" requirement is </w:t>
      </w:r>
      <w:proofErr w:type="gramStart"/>
      <w:r w:rsidRPr="0098032B">
        <w:rPr>
          <w:i/>
          <w:iCs/>
          <w:lang w:val="en-GB"/>
        </w:rPr>
        <w:t>based on the fact that</w:t>
      </w:r>
      <w:proofErr w:type="gramEnd"/>
      <w:r w:rsidRPr="0098032B">
        <w:rPr>
          <w:i/>
          <w:iCs/>
          <w:lang w:val="en-GB"/>
        </w:rPr>
        <w:t xml:space="preserve"> the capabilities of tools used vary and that perfect detection is not always possible.</w:t>
      </w:r>
    </w:p>
    <w:p w14:paraId="0BC3E3DD" w14:textId="77777777" w:rsidR="0098032B" w:rsidRPr="0098032B" w:rsidRDefault="0098032B" w:rsidP="0098032B">
      <w:pPr>
        <w:rPr>
          <w:b/>
          <w:bCs/>
          <w:lang w:val="en-GB"/>
        </w:rPr>
      </w:pPr>
      <w:r w:rsidRPr="0098032B">
        <w:rPr>
          <w:b/>
          <w:bCs/>
          <w:lang w:val="en-GB"/>
        </w:rPr>
        <w:t>ARTICLE 7: ARBITRATOR RESPONSIBILITY</w:t>
      </w:r>
    </w:p>
    <w:p w14:paraId="75095AE4" w14:textId="77777777" w:rsidR="0098032B" w:rsidRPr="0098032B" w:rsidRDefault="0098032B" w:rsidP="0098032B">
      <w:pPr>
        <w:rPr>
          <w:lang w:val="en-GB"/>
        </w:rPr>
      </w:pPr>
      <w:r w:rsidRPr="0098032B">
        <w:rPr>
          <w:lang w:val="en-GB"/>
        </w:rPr>
        <w:t>7.1. The arbitral tribunal has exclusive authority and obligation to make all substantive and procedural decisions and may not delegate decision-making to AI systems.</w:t>
      </w:r>
    </w:p>
    <w:p w14:paraId="02F0D338" w14:textId="77777777" w:rsidR="0098032B" w:rsidRPr="0098032B" w:rsidRDefault="0098032B" w:rsidP="0098032B">
      <w:pPr>
        <w:rPr>
          <w:lang w:val="en-GB"/>
        </w:rPr>
      </w:pPr>
      <w:r w:rsidRPr="0098032B">
        <w:rPr>
          <w:lang w:val="en-GB"/>
        </w:rPr>
        <w:t>7.2. While AI may assist in information processing and analysis, members of the arbitral tribunal shall act independently and autonomously in drawing factual and legal conclusions.</w:t>
      </w:r>
    </w:p>
    <w:p w14:paraId="6BE3BE84" w14:textId="77777777" w:rsidR="0098032B" w:rsidRPr="0098032B" w:rsidRDefault="0098032B" w:rsidP="0098032B">
      <w:pPr>
        <w:rPr>
          <w:lang w:val="en-GB"/>
        </w:rPr>
      </w:pPr>
      <w:r w:rsidRPr="0098032B">
        <w:rPr>
          <w:lang w:val="en-GB"/>
        </w:rPr>
        <w:t>7.3. Arbitrators shall ensure that AI use does not compromise their impartiality or create conflicts of interest.</w:t>
      </w:r>
    </w:p>
    <w:p w14:paraId="1B10D07C" w14:textId="77777777" w:rsidR="0098032B" w:rsidRPr="0098032B" w:rsidRDefault="0098032B" w:rsidP="0098032B">
      <w:pPr>
        <w:rPr>
          <w:lang w:val="en-GB"/>
        </w:rPr>
      </w:pPr>
      <w:r w:rsidRPr="0098032B">
        <w:rPr>
          <w:i/>
          <w:iCs/>
          <w:lang w:val="en-GB"/>
        </w:rPr>
        <w:t>Commentary: Article 7 addresses the unique responsibilities of arbitrators and the non-delegable nature of their decision-making authority. The prohibition on delegation recognizes that the legitimacy of arbitration depends on human judgment, wisdom and accountability, which cannot be transferred to AI systems. This principle is fundamental to maintaining public trust and enforceability of arbitral awards.</w:t>
      </w:r>
    </w:p>
    <w:p w14:paraId="6F1AD945" w14:textId="77777777" w:rsidR="0098032B" w:rsidRPr="0098032B" w:rsidRDefault="0098032B" w:rsidP="0098032B">
      <w:pPr>
        <w:rPr>
          <w:lang w:val="en-GB"/>
        </w:rPr>
      </w:pPr>
      <w:r w:rsidRPr="0098032B">
        <w:rPr>
          <w:i/>
          <w:iCs/>
          <w:lang w:val="en-GB"/>
        </w:rPr>
        <w:t>The distinction between assistance and decision-making in Article 7.2 is crucial but can be subtle in practice. AI can help arbitrators process large volumes of evidence, identify relevant patterns or organize complex information, but interpretation, deliberation and final conclusions must remain with the arbitrator. This preserves the human element essential for fair and legitimate dispute resolution.</w:t>
      </w:r>
    </w:p>
    <w:p w14:paraId="740E1D0E" w14:textId="77777777" w:rsidR="0098032B" w:rsidRPr="0098032B" w:rsidRDefault="0098032B" w:rsidP="0098032B">
      <w:pPr>
        <w:rPr>
          <w:lang w:val="en-GB"/>
        </w:rPr>
      </w:pPr>
      <w:r w:rsidRPr="0098032B">
        <w:rPr>
          <w:i/>
          <w:iCs/>
          <w:lang w:val="en-GB"/>
        </w:rPr>
        <w:t>The impartiality requirements in Article 7.3 address new challenges created by AI use. If an arbitrator uses AI tools that are biased toward certain types of arguments, legal systems or factual interpretations, this could compromise their neutrality. Similarly, if an arbitrator has financial interests in AI companies or preferential access to certain tools, this could create conflicts of interest that must be disclosed and managed.</w:t>
      </w:r>
    </w:p>
    <w:p w14:paraId="5C7D9EFD" w14:textId="77777777" w:rsidR="0098032B" w:rsidRPr="0098032B" w:rsidRDefault="0098032B" w:rsidP="0098032B">
      <w:pPr>
        <w:rPr>
          <w:lang w:val="en-GB"/>
        </w:rPr>
      </w:pPr>
      <w:r w:rsidRPr="0098032B">
        <w:rPr>
          <w:i/>
          <w:iCs/>
          <w:lang w:val="en-GB"/>
        </w:rPr>
        <w:t>These provisions also address issues of arbitrator competence and training. As AI becomes more prevalent in arbitration, arbitrators must develop new skills in understanding AI capabilities and limitations, interpreting analysis prepared with AI assistance, and handling AI-related procedural issues.</w:t>
      </w:r>
    </w:p>
    <w:p w14:paraId="5A494852" w14:textId="77777777" w:rsidR="0098032B" w:rsidRPr="0098032B" w:rsidRDefault="0098032B" w:rsidP="0098032B">
      <w:pPr>
        <w:rPr>
          <w:lang w:val="en-GB"/>
        </w:rPr>
      </w:pPr>
      <w:r w:rsidRPr="0098032B">
        <w:rPr>
          <w:i/>
          <w:iCs/>
          <w:lang w:val="en-GB"/>
        </w:rPr>
        <w:lastRenderedPageBreak/>
        <w:t>The article's approach recognizes that AI use by members of the arbitral tribunal may differ from use by parties. While Parties argue for their positions, arbitrators must maintain their impartiality and ensure that AI use serves fair and accurate decision-making, not just efficiency.</w:t>
      </w:r>
    </w:p>
    <w:p w14:paraId="486847A8" w14:textId="77777777" w:rsidR="0098032B" w:rsidRPr="0098032B" w:rsidRDefault="0098032B" w:rsidP="0098032B">
      <w:pPr>
        <w:rPr>
          <w:b/>
          <w:bCs/>
          <w:lang w:val="en-GB"/>
        </w:rPr>
      </w:pPr>
      <w:r w:rsidRPr="0098032B">
        <w:rPr>
          <w:b/>
          <w:bCs/>
          <w:lang w:val="en-GB"/>
        </w:rPr>
        <w:t>ARTICLE 8: CASE MANAGEMENT</w:t>
      </w:r>
    </w:p>
    <w:p w14:paraId="6391D803" w14:textId="77777777" w:rsidR="0098032B" w:rsidRPr="0098032B" w:rsidRDefault="0098032B" w:rsidP="0098032B">
      <w:pPr>
        <w:rPr>
          <w:lang w:val="en-GB"/>
        </w:rPr>
      </w:pPr>
      <w:r w:rsidRPr="0098032B">
        <w:rPr>
          <w:lang w:val="en-GB"/>
        </w:rPr>
        <w:t>8.1. The arbitral tribunal may regulate AI use through orders within the framework of the Rules of Proceedings.</w:t>
      </w:r>
    </w:p>
    <w:p w14:paraId="6D18DF14" w14:textId="77777777" w:rsidR="0098032B" w:rsidRPr="0098032B" w:rsidRDefault="0098032B" w:rsidP="0098032B">
      <w:pPr>
        <w:rPr>
          <w:lang w:val="en-GB"/>
        </w:rPr>
      </w:pPr>
      <w:r w:rsidRPr="0098032B">
        <w:rPr>
          <w:lang w:val="en-GB"/>
        </w:rPr>
        <w:t>8.2. Rules for AI use should be determined as early as possible in the proceedings, for example during case management conferences.</w:t>
      </w:r>
    </w:p>
    <w:p w14:paraId="6E32E2FF" w14:textId="77777777" w:rsidR="0098032B" w:rsidRPr="0098032B" w:rsidRDefault="0098032B" w:rsidP="0098032B">
      <w:pPr>
        <w:rPr>
          <w:lang w:val="en-GB"/>
        </w:rPr>
      </w:pPr>
      <w:r w:rsidRPr="0098032B">
        <w:rPr>
          <w:i/>
          <w:iCs/>
          <w:lang w:val="en-GB"/>
        </w:rPr>
        <w:t>Commentary: Article 8 empowers arbitral tribunals to proactively address AI-related issues. The broad authority in Article 8.1 reflects arbitrators' general case management powers.</w:t>
      </w:r>
    </w:p>
    <w:p w14:paraId="313B3DA9" w14:textId="77777777" w:rsidR="0098032B" w:rsidRPr="0098032B" w:rsidRDefault="0098032B" w:rsidP="0098032B">
      <w:pPr>
        <w:rPr>
          <w:lang w:val="en-GB"/>
        </w:rPr>
      </w:pPr>
      <w:r w:rsidRPr="0098032B">
        <w:rPr>
          <w:i/>
          <w:iCs/>
          <w:lang w:val="en-GB"/>
        </w:rPr>
        <w:t>According to Article 8.2, rules for AI use should be determined as soon as possible after proceedings commence.</w:t>
      </w:r>
    </w:p>
    <w:p w14:paraId="48B93AF6" w14:textId="240F4B16" w:rsidR="0098032B" w:rsidRPr="0098032B" w:rsidRDefault="0098032B" w:rsidP="0098032B">
      <w:pPr>
        <w:rPr>
          <w:b/>
          <w:bCs/>
          <w:lang w:val="en-GB"/>
        </w:rPr>
      </w:pPr>
      <w:r w:rsidRPr="0098032B">
        <w:rPr>
          <w:b/>
          <w:bCs/>
          <w:lang w:val="en-GB"/>
        </w:rPr>
        <w:t xml:space="preserve">ARTICLE 9: </w:t>
      </w:r>
      <w:r>
        <w:rPr>
          <w:b/>
          <w:bCs/>
          <w:lang w:val="en-GB"/>
        </w:rPr>
        <w:t>LAWS AND REGULATIONS</w:t>
      </w:r>
    </w:p>
    <w:p w14:paraId="0517BC8C" w14:textId="77777777" w:rsidR="0098032B" w:rsidRPr="0098032B" w:rsidRDefault="0098032B" w:rsidP="0098032B">
      <w:pPr>
        <w:rPr>
          <w:lang w:val="en-GB"/>
        </w:rPr>
      </w:pPr>
      <w:r w:rsidRPr="0098032B">
        <w:rPr>
          <w:lang w:val="en-GB"/>
        </w:rPr>
        <w:t>9.1. Participants shall ensure that their AI use complies with applicable laws, professional conduct rules and any sector-specific AI regulations.</w:t>
      </w:r>
    </w:p>
    <w:p w14:paraId="7AA8FDC7" w14:textId="77777777" w:rsidR="0098032B" w:rsidRPr="0098032B" w:rsidRDefault="0098032B" w:rsidP="0098032B">
      <w:pPr>
        <w:rPr>
          <w:lang w:val="en-GB"/>
        </w:rPr>
      </w:pPr>
      <w:r w:rsidRPr="0098032B">
        <w:rPr>
          <w:lang w:val="en-GB"/>
        </w:rPr>
        <w:t>9.2. Where applicable laws or other mandatory norms conflict with these Guidelines, applicable law shall prevail.</w:t>
      </w:r>
    </w:p>
    <w:p w14:paraId="401CC0F7" w14:textId="77777777" w:rsidR="0098032B" w:rsidRPr="0098032B" w:rsidRDefault="0098032B" w:rsidP="0098032B">
      <w:pPr>
        <w:rPr>
          <w:lang w:val="en-GB"/>
        </w:rPr>
      </w:pPr>
      <w:r w:rsidRPr="0098032B">
        <w:rPr>
          <w:i/>
          <w:iCs/>
          <w:lang w:val="en-GB"/>
        </w:rPr>
        <w:t>Commentary: Article 9 ensures that the Guidelines are applied in a manner compatible with applicable legal frameworks.</w:t>
      </w:r>
    </w:p>
    <w:p w14:paraId="64B0AB01" w14:textId="77777777" w:rsidR="00F30F65" w:rsidRPr="0098032B" w:rsidRDefault="00F30F65">
      <w:pPr>
        <w:rPr>
          <w:lang w:val="en-GB"/>
        </w:rPr>
      </w:pPr>
    </w:p>
    <w:sectPr w:rsidR="00F30F65" w:rsidRPr="0098032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D1F17" w14:textId="77777777" w:rsidR="00DA1CF2" w:rsidRDefault="00DA1CF2" w:rsidP="0077027F">
      <w:pPr>
        <w:spacing w:after="0" w:line="240" w:lineRule="auto"/>
      </w:pPr>
      <w:r>
        <w:separator/>
      </w:r>
    </w:p>
  </w:endnote>
  <w:endnote w:type="continuationSeparator" w:id="0">
    <w:p w14:paraId="66EECFD3" w14:textId="77777777" w:rsidR="00DA1CF2" w:rsidRDefault="00DA1CF2" w:rsidP="00770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76C05" w14:textId="77777777" w:rsidR="00DA1CF2" w:rsidRDefault="00DA1CF2" w:rsidP="0077027F">
      <w:pPr>
        <w:spacing w:after="0" w:line="240" w:lineRule="auto"/>
      </w:pPr>
      <w:r>
        <w:separator/>
      </w:r>
    </w:p>
  </w:footnote>
  <w:footnote w:type="continuationSeparator" w:id="0">
    <w:p w14:paraId="7B0ACF9B" w14:textId="77777777" w:rsidR="00DA1CF2" w:rsidRDefault="00DA1CF2" w:rsidP="0077027F">
      <w:pPr>
        <w:spacing w:after="0" w:line="240" w:lineRule="auto"/>
      </w:pPr>
      <w:r>
        <w:continuationSeparator/>
      </w:r>
    </w:p>
  </w:footnote>
  <w:footnote w:id="1">
    <w:p w14:paraId="5FF832E4" w14:textId="5FDA8B65" w:rsidR="0077027F" w:rsidRPr="0077027F" w:rsidRDefault="0077027F" w:rsidP="0077027F">
      <w:pPr>
        <w:rPr>
          <w:sz w:val="18"/>
          <w:szCs w:val="18"/>
          <w:lang w:val="en-GB"/>
        </w:rPr>
      </w:pPr>
      <w:r>
        <w:rPr>
          <w:rStyle w:val="Lbjegyzet-hivatkozs"/>
        </w:rPr>
        <w:footnoteRef/>
      </w:r>
      <w:r>
        <w:t xml:space="preserve"> </w:t>
      </w:r>
      <w:r w:rsidRPr="0077027F">
        <w:rPr>
          <w:sz w:val="18"/>
          <w:szCs w:val="18"/>
          <w:lang w:val="en-GB"/>
        </w:rPr>
        <w:t xml:space="preserve">The </w:t>
      </w:r>
      <w:proofErr w:type="gramStart"/>
      <w:r w:rsidRPr="0077027F">
        <w:rPr>
          <w:sz w:val="18"/>
          <w:szCs w:val="18"/>
          <w:lang w:val="en-GB"/>
        </w:rPr>
        <w:t>Guidelines  was</w:t>
      </w:r>
      <w:proofErr w:type="gramEnd"/>
      <w:r w:rsidRPr="0077027F">
        <w:rPr>
          <w:sz w:val="18"/>
          <w:szCs w:val="18"/>
          <w:lang w:val="en-GB"/>
        </w:rPr>
        <w:t xml:space="preserve"> adopted by the Presidium on 16 December 2025 </w:t>
      </w:r>
    </w:p>
    <w:p w14:paraId="4276B7B4" w14:textId="4FC551A8" w:rsidR="0077027F" w:rsidRPr="0077027F" w:rsidRDefault="0077027F">
      <w:pPr>
        <w:pStyle w:val="Lbjegyzetszveg"/>
        <w:rPr>
          <w:lang w:val="en-GB"/>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8032B"/>
    <w:rsid w:val="002B103A"/>
    <w:rsid w:val="003E1A7F"/>
    <w:rsid w:val="0077027F"/>
    <w:rsid w:val="008E4EEA"/>
    <w:rsid w:val="0098032B"/>
    <w:rsid w:val="00C26318"/>
    <w:rsid w:val="00DA1CF2"/>
    <w:rsid w:val="00E14FD9"/>
    <w:rsid w:val="00F30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A5813"/>
  <w15:chartTrackingRefBased/>
  <w15:docId w15:val="{3E66C7F5-C52D-42EB-9C78-CBADA01ED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lang w:val="hu-HU"/>
    </w:rPr>
  </w:style>
  <w:style w:type="paragraph" w:styleId="Cmsor1">
    <w:name w:val="heading 1"/>
    <w:basedOn w:val="Norml"/>
    <w:next w:val="Norml"/>
    <w:link w:val="Cmsor1Char"/>
    <w:uiPriority w:val="9"/>
    <w:qFormat/>
    <w:rsid w:val="009803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9803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98032B"/>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98032B"/>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98032B"/>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98032B"/>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98032B"/>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98032B"/>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98032B"/>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98032B"/>
    <w:rPr>
      <w:rFonts w:asciiTheme="majorHAnsi" w:eastAsiaTheme="majorEastAsia" w:hAnsiTheme="majorHAnsi" w:cstheme="majorBidi"/>
      <w:color w:val="0F4761" w:themeColor="accent1" w:themeShade="BF"/>
      <w:sz w:val="40"/>
      <w:szCs w:val="40"/>
      <w:lang w:val="hu-HU"/>
    </w:rPr>
  </w:style>
  <w:style w:type="character" w:customStyle="1" w:styleId="Cmsor2Char">
    <w:name w:val="Címsor 2 Char"/>
    <w:basedOn w:val="Bekezdsalapbettpusa"/>
    <w:link w:val="Cmsor2"/>
    <w:uiPriority w:val="9"/>
    <w:semiHidden/>
    <w:rsid w:val="0098032B"/>
    <w:rPr>
      <w:rFonts w:asciiTheme="majorHAnsi" w:eastAsiaTheme="majorEastAsia" w:hAnsiTheme="majorHAnsi" w:cstheme="majorBidi"/>
      <w:color w:val="0F4761" w:themeColor="accent1" w:themeShade="BF"/>
      <w:sz w:val="32"/>
      <w:szCs w:val="32"/>
      <w:lang w:val="hu-HU"/>
    </w:rPr>
  </w:style>
  <w:style w:type="character" w:customStyle="1" w:styleId="Cmsor3Char">
    <w:name w:val="Címsor 3 Char"/>
    <w:basedOn w:val="Bekezdsalapbettpusa"/>
    <w:link w:val="Cmsor3"/>
    <w:uiPriority w:val="9"/>
    <w:semiHidden/>
    <w:rsid w:val="0098032B"/>
    <w:rPr>
      <w:rFonts w:eastAsiaTheme="majorEastAsia" w:cstheme="majorBidi"/>
      <w:color w:val="0F4761" w:themeColor="accent1" w:themeShade="BF"/>
      <w:sz w:val="28"/>
      <w:szCs w:val="28"/>
      <w:lang w:val="hu-HU"/>
    </w:rPr>
  </w:style>
  <w:style w:type="character" w:customStyle="1" w:styleId="Cmsor4Char">
    <w:name w:val="Címsor 4 Char"/>
    <w:basedOn w:val="Bekezdsalapbettpusa"/>
    <w:link w:val="Cmsor4"/>
    <w:uiPriority w:val="9"/>
    <w:semiHidden/>
    <w:rsid w:val="0098032B"/>
    <w:rPr>
      <w:rFonts w:eastAsiaTheme="majorEastAsia" w:cstheme="majorBidi"/>
      <w:i/>
      <w:iCs/>
      <w:color w:val="0F4761" w:themeColor="accent1" w:themeShade="BF"/>
      <w:lang w:val="hu-HU"/>
    </w:rPr>
  </w:style>
  <w:style w:type="character" w:customStyle="1" w:styleId="Cmsor5Char">
    <w:name w:val="Címsor 5 Char"/>
    <w:basedOn w:val="Bekezdsalapbettpusa"/>
    <w:link w:val="Cmsor5"/>
    <w:uiPriority w:val="9"/>
    <w:semiHidden/>
    <w:rsid w:val="0098032B"/>
    <w:rPr>
      <w:rFonts w:eastAsiaTheme="majorEastAsia" w:cstheme="majorBidi"/>
      <w:color w:val="0F4761" w:themeColor="accent1" w:themeShade="BF"/>
      <w:lang w:val="hu-HU"/>
    </w:rPr>
  </w:style>
  <w:style w:type="character" w:customStyle="1" w:styleId="Cmsor6Char">
    <w:name w:val="Címsor 6 Char"/>
    <w:basedOn w:val="Bekezdsalapbettpusa"/>
    <w:link w:val="Cmsor6"/>
    <w:uiPriority w:val="9"/>
    <w:semiHidden/>
    <w:rsid w:val="0098032B"/>
    <w:rPr>
      <w:rFonts w:eastAsiaTheme="majorEastAsia" w:cstheme="majorBidi"/>
      <w:i/>
      <w:iCs/>
      <w:color w:val="595959" w:themeColor="text1" w:themeTint="A6"/>
      <w:lang w:val="hu-HU"/>
    </w:rPr>
  </w:style>
  <w:style w:type="character" w:customStyle="1" w:styleId="Cmsor7Char">
    <w:name w:val="Címsor 7 Char"/>
    <w:basedOn w:val="Bekezdsalapbettpusa"/>
    <w:link w:val="Cmsor7"/>
    <w:uiPriority w:val="9"/>
    <w:semiHidden/>
    <w:rsid w:val="0098032B"/>
    <w:rPr>
      <w:rFonts w:eastAsiaTheme="majorEastAsia" w:cstheme="majorBidi"/>
      <w:color w:val="595959" w:themeColor="text1" w:themeTint="A6"/>
      <w:lang w:val="hu-HU"/>
    </w:rPr>
  </w:style>
  <w:style w:type="character" w:customStyle="1" w:styleId="Cmsor8Char">
    <w:name w:val="Címsor 8 Char"/>
    <w:basedOn w:val="Bekezdsalapbettpusa"/>
    <w:link w:val="Cmsor8"/>
    <w:uiPriority w:val="9"/>
    <w:semiHidden/>
    <w:rsid w:val="0098032B"/>
    <w:rPr>
      <w:rFonts w:eastAsiaTheme="majorEastAsia" w:cstheme="majorBidi"/>
      <w:i/>
      <w:iCs/>
      <w:color w:val="272727" w:themeColor="text1" w:themeTint="D8"/>
      <w:lang w:val="hu-HU"/>
    </w:rPr>
  </w:style>
  <w:style w:type="character" w:customStyle="1" w:styleId="Cmsor9Char">
    <w:name w:val="Címsor 9 Char"/>
    <w:basedOn w:val="Bekezdsalapbettpusa"/>
    <w:link w:val="Cmsor9"/>
    <w:uiPriority w:val="9"/>
    <w:semiHidden/>
    <w:rsid w:val="0098032B"/>
    <w:rPr>
      <w:rFonts w:eastAsiaTheme="majorEastAsia" w:cstheme="majorBidi"/>
      <w:color w:val="272727" w:themeColor="text1" w:themeTint="D8"/>
      <w:lang w:val="hu-HU"/>
    </w:rPr>
  </w:style>
  <w:style w:type="paragraph" w:styleId="Cm">
    <w:name w:val="Title"/>
    <w:basedOn w:val="Norml"/>
    <w:next w:val="Norml"/>
    <w:link w:val="CmChar"/>
    <w:uiPriority w:val="10"/>
    <w:qFormat/>
    <w:rsid w:val="009803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8032B"/>
    <w:rPr>
      <w:rFonts w:asciiTheme="majorHAnsi" w:eastAsiaTheme="majorEastAsia" w:hAnsiTheme="majorHAnsi" w:cstheme="majorBidi"/>
      <w:spacing w:val="-10"/>
      <w:kern w:val="28"/>
      <w:sz w:val="56"/>
      <w:szCs w:val="56"/>
      <w:lang w:val="hu-HU"/>
    </w:rPr>
  </w:style>
  <w:style w:type="paragraph" w:styleId="Alcm">
    <w:name w:val="Subtitle"/>
    <w:basedOn w:val="Norml"/>
    <w:next w:val="Norml"/>
    <w:link w:val="AlcmChar"/>
    <w:uiPriority w:val="11"/>
    <w:qFormat/>
    <w:rsid w:val="0098032B"/>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98032B"/>
    <w:rPr>
      <w:rFonts w:eastAsiaTheme="majorEastAsia" w:cstheme="majorBidi"/>
      <w:color w:val="595959" w:themeColor="text1" w:themeTint="A6"/>
      <w:spacing w:val="15"/>
      <w:sz w:val="28"/>
      <w:szCs w:val="28"/>
      <w:lang w:val="hu-HU"/>
    </w:rPr>
  </w:style>
  <w:style w:type="paragraph" w:styleId="Idzet">
    <w:name w:val="Quote"/>
    <w:basedOn w:val="Norml"/>
    <w:next w:val="Norml"/>
    <w:link w:val="IdzetChar"/>
    <w:uiPriority w:val="29"/>
    <w:qFormat/>
    <w:rsid w:val="0098032B"/>
    <w:pPr>
      <w:spacing w:before="160"/>
      <w:jc w:val="center"/>
    </w:pPr>
    <w:rPr>
      <w:i/>
      <w:iCs/>
      <w:color w:val="404040" w:themeColor="text1" w:themeTint="BF"/>
    </w:rPr>
  </w:style>
  <w:style w:type="character" w:customStyle="1" w:styleId="IdzetChar">
    <w:name w:val="Idézet Char"/>
    <w:basedOn w:val="Bekezdsalapbettpusa"/>
    <w:link w:val="Idzet"/>
    <w:uiPriority w:val="29"/>
    <w:rsid w:val="0098032B"/>
    <w:rPr>
      <w:i/>
      <w:iCs/>
      <w:color w:val="404040" w:themeColor="text1" w:themeTint="BF"/>
      <w:lang w:val="hu-HU"/>
    </w:rPr>
  </w:style>
  <w:style w:type="paragraph" w:styleId="Listaszerbekezds">
    <w:name w:val="List Paragraph"/>
    <w:basedOn w:val="Norml"/>
    <w:uiPriority w:val="34"/>
    <w:qFormat/>
    <w:rsid w:val="0098032B"/>
    <w:pPr>
      <w:ind w:left="720"/>
      <w:contextualSpacing/>
    </w:pPr>
  </w:style>
  <w:style w:type="character" w:styleId="Erskiemels">
    <w:name w:val="Intense Emphasis"/>
    <w:basedOn w:val="Bekezdsalapbettpusa"/>
    <w:uiPriority w:val="21"/>
    <w:qFormat/>
    <w:rsid w:val="0098032B"/>
    <w:rPr>
      <w:i/>
      <w:iCs/>
      <w:color w:val="0F4761" w:themeColor="accent1" w:themeShade="BF"/>
    </w:rPr>
  </w:style>
  <w:style w:type="paragraph" w:styleId="Kiemeltidzet">
    <w:name w:val="Intense Quote"/>
    <w:basedOn w:val="Norml"/>
    <w:next w:val="Norml"/>
    <w:link w:val="KiemeltidzetChar"/>
    <w:uiPriority w:val="30"/>
    <w:qFormat/>
    <w:rsid w:val="009803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98032B"/>
    <w:rPr>
      <w:i/>
      <w:iCs/>
      <w:color w:val="0F4761" w:themeColor="accent1" w:themeShade="BF"/>
      <w:lang w:val="hu-HU"/>
    </w:rPr>
  </w:style>
  <w:style w:type="character" w:styleId="Ershivatkozs">
    <w:name w:val="Intense Reference"/>
    <w:basedOn w:val="Bekezdsalapbettpusa"/>
    <w:uiPriority w:val="32"/>
    <w:qFormat/>
    <w:rsid w:val="0098032B"/>
    <w:rPr>
      <w:b/>
      <w:bCs/>
      <w:smallCaps/>
      <w:color w:val="0F4761" w:themeColor="accent1" w:themeShade="BF"/>
      <w:spacing w:val="5"/>
    </w:rPr>
  </w:style>
  <w:style w:type="paragraph" w:styleId="Lbjegyzetszveg">
    <w:name w:val="footnote text"/>
    <w:basedOn w:val="Norml"/>
    <w:link w:val="LbjegyzetszvegChar"/>
    <w:uiPriority w:val="99"/>
    <w:semiHidden/>
    <w:unhideWhenUsed/>
    <w:rsid w:val="0077027F"/>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77027F"/>
    <w:rPr>
      <w:sz w:val="20"/>
      <w:szCs w:val="20"/>
      <w:lang w:val="hu-HU"/>
    </w:rPr>
  </w:style>
  <w:style w:type="character" w:styleId="Lbjegyzet-hivatkozs">
    <w:name w:val="footnote reference"/>
    <w:basedOn w:val="Bekezdsalapbettpusa"/>
    <w:uiPriority w:val="99"/>
    <w:semiHidden/>
    <w:unhideWhenUsed/>
    <w:rsid w:val="007702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355533">
      <w:bodyDiv w:val="1"/>
      <w:marLeft w:val="0"/>
      <w:marRight w:val="0"/>
      <w:marTop w:val="0"/>
      <w:marBottom w:val="0"/>
      <w:divBdr>
        <w:top w:val="none" w:sz="0" w:space="0" w:color="auto"/>
        <w:left w:val="none" w:sz="0" w:space="0" w:color="auto"/>
        <w:bottom w:val="none" w:sz="0" w:space="0" w:color="auto"/>
        <w:right w:val="none" w:sz="0" w:space="0" w:color="auto"/>
      </w:divBdr>
    </w:div>
    <w:div w:id="135037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4D6F7B-C3AF-4AB5-8F32-31017FC1D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2648</Words>
  <Characters>18278</Characters>
  <Application>Microsoft Office Word</Application>
  <DocSecurity>0</DocSecurity>
  <Lines>152</Lines>
  <Paragraphs>41</Paragraphs>
  <ScaleCrop>false</ScaleCrop>
  <Company/>
  <LinksUpToDate>false</LinksUpToDate>
  <CharactersWithSpaces>20885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János Katona</dc:creator>
  <cp:keywords/>
  <dc:description/>
  <cp:lastModifiedBy>Lukács Józsefné</cp:lastModifiedBy>
  <cp:revision>2</cp:revision>
  <dcterms:created xsi:type="dcterms:W3CDTF">2025-07-31T08:14:00Z</dcterms:created>
  <dcterms:modified xsi:type="dcterms:W3CDTF">2026-01-21T11:44:00Z</dcterms:modified>
</cp:coreProperties>
</file>